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9647F">
      <w:pPr>
        <w:adjustRightInd w:val="0"/>
        <w:snapToGrid w:val="0"/>
        <w:spacing w:line="560" w:lineRule="exact"/>
        <w:jc w:val="center"/>
        <w:rPr>
          <w:rFonts w:hint="eastAsia" w:ascii="方正小标宋_GBK" w:hAnsi="宋体" w:eastAsia="方正小标宋_GBK" w:cs="宋体"/>
          <w:b w:val="0"/>
          <w:bCs/>
          <w:color w:val="000000"/>
          <w:sz w:val="44"/>
          <w:szCs w:val="44"/>
          <w:lang w:val="en-US" w:eastAsia="zh-CN"/>
        </w:rPr>
      </w:pPr>
      <w:bookmarkStart w:id="0" w:name="OLE_LINK2"/>
      <w:r>
        <w:rPr>
          <w:rFonts w:hint="eastAsia" w:ascii="方正小标宋_GBK" w:hAnsi="宋体" w:eastAsia="方正小标宋_GBK" w:cs="宋体"/>
          <w:b w:val="0"/>
          <w:bCs/>
          <w:color w:val="000000"/>
          <w:sz w:val="44"/>
          <w:szCs w:val="44"/>
          <w:lang w:val="en-US" w:eastAsia="zh-CN" w:bidi="ar"/>
        </w:rPr>
        <w:t>长春光机所研究生指导教师管理细则</w:t>
      </w:r>
    </w:p>
    <w:p w14:paraId="314F7FB3">
      <w:pPr>
        <w:adjustRightInd w:val="0"/>
        <w:snapToGrid w:val="0"/>
        <w:spacing w:line="560" w:lineRule="exact"/>
        <w:ind w:firstLine="616" w:firstLineChars="200"/>
        <w:jc w:val="left"/>
        <w:rPr>
          <w:rFonts w:ascii="Times New Roman" w:hAnsi="Times New Roman" w:eastAsia="仿宋_GB2312" w:cs="宋体"/>
          <w:color w:val="000000"/>
          <w:sz w:val="32"/>
          <w:szCs w:val="32"/>
          <w:lang w:val="en-US" w:eastAsia="zh-CN" w:bidi="ar"/>
        </w:rPr>
      </w:pPr>
    </w:p>
    <w:p w14:paraId="4951490B">
      <w:pPr>
        <w:adjustRightInd w:val="0"/>
        <w:snapToGrid w:val="0"/>
        <w:spacing w:after="287" w:afterLines="5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bidi="ar"/>
        </w:rPr>
        <w:t>第一章</w:t>
      </w:r>
      <w:r>
        <w:rPr>
          <w:rFonts w:hint="eastAsia" w:ascii="Times New Roman" w:hAnsi="Times New Roman" w:eastAsia="仿宋_GB2312" w:cs="宋体"/>
          <w:color w:val="000000"/>
          <w:sz w:val="32"/>
          <w:szCs w:val="32"/>
          <w:shd w:val="clear" w:color="auto" w:fill="FFFFFF"/>
          <w:lang w:val="en-US" w:eastAsia="zh-CN" w:bidi="ar"/>
        </w:rPr>
        <w:t>　</w:t>
      </w:r>
      <w:r>
        <w:rPr>
          <w:rFonts w:hint="eastAsia" w:ascii="黑体" w:hAnsi="黑体" w:eastAsia="黑体" w:cs="黑体"/>
          <w:color w:val="000000"/>
          <w:sz w:val="32"/>
          <w:szCs w:val="32"/>
          <w:lang w:val="en-US" w:eastAsia="zh-CN" w:bidi="ar"/>
        </w:rPr>
        <w:t>总则</w:t>
      </w:r>
    </w:p>
    <w:p w14:paraId="4279925F">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第一条</w:t>
      </w:r>
      <w:r>
        <w:rPr>
          <w:rFonts w:hint="eastAsia" w:ascii="Times New Roman" w:hAnsi="Times New Roman" w:eastAsia="仿宋_GB2312" w:cs="宋体"/>
          <w:color w:val="000000"/>
          <w:sz w:val="32"/>
          <w:szCs w:val="32"/>
          <w:shd w:val="clear" w:color="auto" w:fill="FFFFFF"/>
          <w:lang w:val="en-US" w:eastAsia="zh-CN" w:bidi="ar"/>
        </w:rPr>
        <w:t>　为深入贯彻党的教育方针，进一步加强研究生指导教师（以下简称导师）队伍建设，不断提高研究生培养质量，根据《研究生导师指导行为准则》（教研〔2020〕12号）《关于加强和改进新时代师德师风建设的意见》（教师〔2019〕10号）《教育部关于全面落实研究生导师立德树人职责的意见》（教研〔2018〕1号）《关于弘扬教育家精神加强新时代高素质专业化教师队伍建设的意见》（〔2024〕25号）及中国科学院、中国科学院大学（以下简称国科大）相关文件精神，结合中国科学院长春光学精密机械与物理研究所（以下简称长春光机所）研究生教育实际情况，特制定本细则。</w:t>
      </w:r>
    </w:p>
    <w:p w14:paraId="56DA3F81">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第二条</w:t>
      </w:r>
      <w:r>
        <w:rPr>
          <w:rFonts w:hint="eastAsia" w:ascii="Times New Roman" w:hAnsi="Times New Roman" w:eastAsia="仿宋_GB2312" w:cs="宋体"/>
          <w:color w:val="000000"/>
          <w:sz w:val="32"/>
          <w:szCs w:val="32"/>
          <w:shd w:val="clear" w:color="auto" w:fill="FFFFFF"/>
          <w:lang w:val="en-US" w:eastAsia="zh-CN" w:bidi="ar"/>
        </w:rPr>
        <w:t>　导师是培养研究生的重要工作岗位，是研究生培养的第一责任人，肩负着培养国家高层次创新人才的使命与重任，承担着对研究生进行思想政治教育、学术规范训练、创新能力培养等职责。导师应落实立德树人根本任务，坚持教书和育人相统一，坚持言传和身教相统一，坚持潜心问道和关注社会相统一，坚持学术自由和学术规范相统一，以德立身、以德立学、以德施教；遵循研究生教育规律，创新指导方式，潜心研究生培养，全过程育人、全方位育人，做研究生成长成才的指导者和引路人。按照研究生培养层次，导师岗位分为博士研究生导师和硕士研究生导师。</w:t>
      </w:r>
    </w:p>
    <w:p w14:paraId="2DD69AA9">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第三条</w:t>
      </w:r>
      <w:r>
        <w:rPr>
          <w:rFonts w:hint="eastAsia" w:ascii="Times New Roman" w:hAnsi="Times New Roman" w:eastAsia="仿宋_GB2312" w:cs="宋体"/>
          <w:color w:val="000000"/>
          <w:sz w:val="32"/>
          <w:szCs w:val="32"/>
          <w:shd w:val="clear" w:color="auto" w:fill="FFFFFF"/>
          <w:lang w:val="en-US" w:eastAsia="zh-CN" w:bidi="ar"/>
        </w:rPr>
        <w:t>　本办法适用于长春光机所博士研究生导师和硕士研究生导师的遴选、聘任、招生资格审核与考核评价工作。</w:t>
      </w:r>
    </w:p>
    <w:p w14:paraId="48B7B219">
      <w:pPr>
        <w:adjustRightInd w:val="0"/>
        <w:snapToGrid w:val="0"/>
        <w:spacing w:before="287" w:beforeLines="50" w:after="287" w:afterLines="5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bidi="ar-SA"/>
        </w:rPr>
        <w:t>第二章</w:t>
      </w:r>
      <w:r>
        <w:rPr>
          <w:rFonts w:hint="eastAsia" w:ascii="Times New Roman" w:hAnsi="Times New Roman" w:eastAsia="仿宋_GB2312" w:cs="宋体"/>
          <w:color w:val="000000"/>
          <w:sz w:val="32"/>
          <w:szCs w:val="32"/>
          <w:shd w:val="clear" w:color="auto" w:fill="FFFFFF"/>
          <w:lang w:val="en-US" w:eastAsia="zh-CN" w:bidi="ar"/>
        </w:rPr>
        <w:t>　</w:t>
      </w:r>
      <w:r>
        <w:rPr>
          <w:rFonts w:hint="eastAsia" w:ascii="黑体" w:hAnsi="黑体" w:eastAsia="黑体" w:cs="黑体"/>
          <w:color w:val="000000"/>
          <w:sz w:val="32"/>
          <w:szCs w:val="32"/>
          <w:lang w:val="en-US" w:eastAsia="zh-CN" w:bidi="ar-SA"/>
        </w:rPr>
        <w:t>导师基本素质与岗位职责</w:t>
      </w:r>
    </w:p>
    <w:p w14:paraId="63E9D2BB">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第四条</w:t>
      </w:r>
      <w:r>
        <w:rPr>
          <w:rFonts w:hint="eastAsia" w:ascii="Times New Roman" w:hAnsi="Times New Roman" w:eastAsia="仿宋_GB2312" w:cs="宋体"/>
          <w:color w:val="000000"/>
          <w:sz w:val="32"/>
          <w:szCs w:val="32"/>
          <w:shd w:val="clear" w:color="auto" w:fill="FFFFFF"/>
          <w:lang w:val="en-US" w:eastAsia="zh-CN" w:bidi="ar"/>
        </w:rPr>
        <w:t>　基本素质</w:t>
      </w:r>
    </w:p>
    <w:p w14:paraId="282FCB03">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 xml:space="preserve">（一）政治素质过硬。坚持正确的政治方向，贯彻党的教育方针，将思想教育与专业教育有机统一，严格执行国家教育政策、国科大和长春光机所关于研究生培养的各项制度规定。 </w:t>
      </w:r>
    </w:p>
    <w:p w14:paraId="4BC2C07D">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（二）师德师风高尚。遵守教师职业道德规范，为人师表，爱岗敬业；恪守学术道德与规范，维护公平正义和风清气正的学术环境；正确行使导师权力，有责任心和使命感。</w:t>
      </w:r>
    </w:p>
    <w:p w14:paraId="2BDF7622">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（三）业务素质精湛。具有深厚的学术造诣和执着的学术追求，秉承先进教育理念，积极参与各类课程教学，着力培养研究生创新能力，助力研究生成长成才。</w:t>
      </w:r>
    </w:p>
    <w:p w14:paraId="41EEFF9E">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第五条</w:t>
      </w:r>
      <w:r>
        <w:rPr>
          <w:rFonts w:hint="eastAsia" w:ascii="Times New Roman" w:hAnsi="Times New Roman" w:eastAsia="仿宋_GB2312" w:cs="宋体"/>
          <w:color w:val="000000"/>
          <w:sz w:val="32"/>
          <w:szCs w:val="32"/>
          <w:shd w:val="clear" w:color="auto" w:fill="FFFFFF"/>
          <w:lang w:val="en-US" w:eastAsia="zh-CN" w:bidi="ar"/>
        </w:rPr>
        <w:t>　岗位职责</w:t>
      </w:r>
    </w:p>
    <w:p w14:paraId="47C29689">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（一）提升研究生思想政治素质和社会责任感。掌握研究生思想状况，强化思想政治教育，拓展国际视野，培养家国情怀，引导研究生树立正确的世界观、人生观、价值观。</w:t>
      </w:r>
    </w:p>
    <w:p w14:paraId="59F33362">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 xml:space="preserve">（二）培养研究生学术创新和实践创新能力。按照因材施教和个性化培养理念，强化学术指导，引导研究生跟踪学科前沿，开展创新性工作。鼓励研究生积极参加国内外学术和专业实践活动，强化理论与实践相结合。 </w:t>
      </w:r>
    </w:p>
    <w:p w14:paraId="4E4ED228">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 xml:space="preserve">（三）指导研究生恪守学术道德规范。培养研究生严谨认真的治学态度和求真务实的科学精神，自觉遵守科研诚信与学术道德，提升学术道德涵养，杜绝学术不端行为，提高知识产权保护意识。 </w:t>
      </w:r>
    </w:p>
    <w:p w14:paraId="538FD24C">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 xml:space="preserve">（四）优化研究生培养条件。积极为研究生开展科学研究创造条件，创设良好的学术交流平台，鼓励研究生积极开展课题研究和学术交流，根据实际情况为研究生提供相应的经费支持。 </w:t>
      </w:r>
    </w:p>
    <w:p w14:paraId="63B30CD7">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 xml:space="preserve">（五）注重人文关怀，加强纪律教育。重视对研究生的人文关怀，关注研究生的身心健康，建立良好的师生互动机制。引导研究生做好职业生涯规划。教育引导研究生遵纪守法，保护研究生合法权益。 </w:t>
      </w:r>
    </w:p>
    <w:p w14:paraId="4447ACD9">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 xml:space="preserve">（六）履行培养职责，精心尽力指导研究生。配合研究生部工作，严格遵守招生、培养和考核评价等方面的规章制度，规范教育教学行为，正确履行研究生培养职责，重视培养方案和培养计划，提出研究生分流退出建议，指导研究生的课程学习、科学研究、论文写作和社会实践等工作。承担课程教学任务的导师应严格遵守教学纪律，将学科前沿成果融入教学内容中。 </w:t>
      </w:r>
    </w:p>
    <w:p w14:paraId="07D199B3">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 xml:space="preserve">（七）加强培养过程管理，指导研究生高质量完成学位论文。严格执行学位授予要求，对学位论文质量严格把关，对研究生在学期间发表的文章及科研成果负有监督责任。 </w:t>
      </w:r>
    </w:p>
    <w:p w14:paraId="0F552A4B">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shd w:val="clear" w:color="auto" w:fill="FFFFFF"/>
          <w:lang w:val="en-US" w:eastAsia="zh-CN" w:bidi="ar"/>
        </w:rPr>
        <w:t>（八）积极参与、承担教育相关工作。参加导师培训和教育工作研讨活动，探索和掌握研究生培养、管理的特点和规律，不断提升研究生的培养质量。对研究生部的工作提出意见和建议。</w:t>
      </w:r>
    </w:p>
    <w:p w14:paraId="28F743BD">
      <w:pPr>
        <w:adjustRightInd w:val="0"/>
        <w:snapToGrid w:val="0"/>
        <w:spacing w:before="287" w:beforeLines="50" w:after="287" w:afterLines="5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bidi="ar"/>
        </w:rPr>
        <w:t>第三章</w:t>
      </w:r>
      <w:r>
        <w:rPr>
          <w:rFonts w:hint="eastAsia" w:ascii="Times New Roman" w:hAnsi="Times New Roman" w:eastAsia="仿宋_GB2312" w:cs="宋体"/>
          <w:color w:val="000000"/>
          <w:sz w:val="32"/>
          <w:szCs w:val="32"/>
          <w:shd w:val="clear" w:color="auto" w:fill="FFFFFF"/>
          <w:lang w:val="en-US" w:eastAsia="zh-CN" w:bidi="ar"/>
        </w:rPr>
        <w:t>　</w:t>
      </w:r>
      <w:r>
        <w:rPr>
          <w:rFonts w:hint="eastAsia" w:ascii="黑体" w:hAnsi="黑体" w:eastAsia="黑体" w:cs="黑体"/>
          <w:color w:val="000000"/>
          <w:sz w:val="32"/>
          <w:szCs w:val="32"/>
          <w:lang w:val="en-US" w:eastAsia="zh-CN" w:bidi="ar"/>
        </w:rPr>
        <w:t>导师资格</w:t>
      </w:r>
    </w:p>
    <w:p w14:paraId="3BB527A0">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第六条</w:t>
      </w:r>
      <w:r>
        <w:rPr>
          <w:rFonts w:hint="eastAsia" w:ascii="Times New Roman" w:hAnsi="Times New Roman" w:eastAsia="仿宋_GB2312" w:cs="宋体"/>
          <w:color w:val="000000"/>
          <w:sz w:val="32"/>
          <w:szCs w:val="32"/>
          <w:shd w:val="clear" w:color="auto" w:fill="FFFFFF"/>
          <w:lang w:val="en-US" w:eastAsia="zh-CN" w:bidi="ar"/>
        </w:rPr>
        <w:t>　具有导师资格是从事研究生培养和指导工作的基本要求，是获得招生资格的前提条件。</w:t>
      </w:r>
    </w:p>
    <w:p w14:paraId="099274F4">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第七条</w:t>
      </w:r>
      <w:r>
        <w:rPr>
          <w:rFonts w:hint="eastAsia" w:ascii="Times New Roman" w:hAnsi="Times New Roman" w:eastAsia="仿宋_GB2312" w:cs="宋体"/>
          <w:color w:val="000000"/>
          <w:sz w:val="32"/>
          <w:szCs w:val="32"/>
          <w:shd w:val="clear" w:color="auto" w:fill="FFFFFF"/>
          <w:lang w:val="en-US" w:eastAsia="zh-CN" w:bidi="ar"/>
        </w:rPr>
        <w:t>　凡遵守宪法和法律，热爱教育事业，品行端正，在长春光机所具有相应学位层次研究生培养权的学科专业范围内，具有较深学术造诣且有教育教学能力，为长春光机所全职聘用的科研岗位或教学科研岗位在岗人员，皆可以参与导师遴选，经各级学位评定委员会认定合格后取得导师资格。</w:t>
      </w:r>
    </w:p>
    <w:p w14:paraId="3D039484">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第八条</w:t>
      </w:r>
      <w:r>
        <w:rPr>
          <w:rFonts w:hint="eastAsia" w:ascii="Times New Roman" w:hAnsi="Times New Roman" w:eastAsia="仿宋_GB2312" w:cs="宋体"/>
          <w:color w:val="000000"/>
          <w:sz w:val="32"/>
          <w:szCs w:val="32"/>
          <w:shd w:val="clear" w:color="auto" w:fill="FFFFFF"/>
          <w:lang w:val="en-US" w:eastAsia="zh-CN" w:bidi="ar"/>
        </w:rPr>
        <w:t>　</w:t>
      </w:r>
      <w:r>
        <w:rPr>
          <w:rFonts w:hint="eastAsia" w:ascii="Times New Roman" w:hAnsi="Times New Roman" w:eastAsia="仿宋_GB2312" w:cs="宋体"/>
          <w:color w:val="000000"/>
          <w:sz w:val="32"/>
          <w:szCs w:val="32"/>
          <w:lang w:val="en-US" w:eastAsia="zh-CN" w:bidi="ar"/>
        </w:rPr>
        <w:t>申请硕士研究生导师资格的，应具备以下基本条件：</w:t>
      </w:r>
    </w:p>
    <w:p w14:paraId="0E5BF0CE">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（一）治学严谨，学风正派，能为人师表，教书育人。</w:t>
      </w:r>
    </w:p>
    <w:p w14:paraId="635CE5C0">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（二）具有博士学位的副研究员或高级工程师及其以上专业技术职务者。</w:t>
      </w:r>
    </w:p>
    <w:p w14:paraId="5DDE6738">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（三）承担所四级及以上科研项目，有稳定的研究学科领域，有必要的实验仪器设备条件，研究经费能够满足研究生科研津贴、培养费、科学研究和完成学位论文等基本需求。</w:t>
      </w:r>
    </w:p>
    <w:p w14:paraId="7D842C74">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（四）有较高的学术造诣和较丰富的科研工作经验，并能正确地把握科研方向。</w:t>
      </w:r>
    </w:p>
    <w:p w14:paraId="34D44674">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（五）学术水平应具备以下条件：</w:t>
      </w:r>
    </w:p>
    <w:p w14:paraId="7D221460">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申请者近三年来作为第一作者，在SCI或EI检索的源期刊上至少发表1篇学术性研究论文。</w:t>
      </w:r>
    </w:p>
    <w:p w14:paraId="69F8CAE1">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（六）有协助本人指导硕士研究生的学术队伍。</w:t>
      </w:r>
    </w:p>
    <w:p w14:paraId="23450C5E">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第九条</w:t>
      </w:r>
      <w:r>
        <w:rPr>
          <w:rFonts w:hint="eastAsia" w:ascii="Times New Roman" w:hAnsi="Times New Roman" w:eastAsia="仿宋_GB2312" w:cs="宋体"/>
          <w:color w:val="000000"/>
          <w:sz w:val="32"/>
          <w:szCs w:val="32"/>
          <w:shd w:val="clear" w:color="auto" w:fill="FFFFFF"/>
          <w:lang w:val="en-US" w:eastAsia="zh-CN" w:bidi="ar"/>
        </w:rPr>
        <w:t>　</w:t>
      </w:r>
      <w:r>
        <w:rPr>
          <w:rFonts w:hint="eastAsia" w:ascii="Times New Roman" w:hAnsi="Times New Roman" w:eastAsia="仿宋_GB2312" w:cs="宋体"/>
          <w:color w:val="000000"/>
          <w:sz w:val="32"/>
          <w:szCs w:val="32"/>
          <w:lang w:val="en-US" w:eastAsia="zh-CN" w:bidi="ar"/>
        </w:rPr>
        <w:t>申请</w:t>
      </w:r>
      <w:r>
        <w:rPr>
          <w:rFonts w:hint="eastAsia" w:ascii="Times New Roman" w:hAnsi="Times New Roman" w:eastAsia="仿宋_GB2312" w:cs="宋体"/>
          <w:bCs/>
          <w:color w:val="000000"/>
          <w:sz w:val="32"/>
          <w:szCs w:val="32"/>
          <w:lang w:val="en-US" w:eastAsia="zh-CN" w:bidi="ar"/>
        </w:rPr>
        <w:t>博士研究生导师资格的，应具备以下基本条件：</w:t>
      </w:r>
    </w:p>
    <w:p w14:paraId="0D3E858E">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（一）治学严谨，学风正派，能为人师表，教书育人。</w:t>
      </w:r>
    </w:p>
    <w:p w14:paraId="4990E600">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（二）具有博士学位的副研究员或高级工程师及其以上专业技术职务者。</w:t>
      </w:r>
    </w:p>
    <w:p w14:paraId="34CEA49F">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三）承担所三级及以上科研项目，在本学科领域学术造诣较深，具有能够掌握本学科国内外发展趋势，提出本学科研究方向，选定具有重要学术意义或实际应用价值的研究课题或开拓一个新研究领域的能力。有必要的实验仪器设备条件，研究经费能够满足研究生科研津贴、培养费、科学研究和完成学位论文等基本需求。</w:t>
      </w:r>
    </w:p>
    <w:p w14:paraId="11A5C86B">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（四）目前所从事的研究方向特色突出，优势明显，有重要的理论意义和实际应用价值。</w:t>
      </w:r>
    </w:p>
    <w:p w14:paraId="463C4C49">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（五）学术水平应具备以下条件之一：</w:t>
      </w:r>
    </w:p>
    <w:p w14:paraId="4F713B26">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ascii="Times New Roman" w:hAnsi="Times New Roman" w:eastAsia="仿宋_GB2312" w:cs="宋体"/>
          <w:color w:val="000000"/>
          <w:sz w:val="32"/>
          <w:szCs w:val="32"/>
          <w:lang w:val="en-US" w:eastAsia="zh-CN" w:bidi="ar"/>
        </w:rPr>
        <w:t xml:space="preserve">1. </w:t>
      </w:r>
      <w:r>
        <w:rPr>
          <w:rFonts w:hint="eastAsia" w:ascii="Times New Roman" w:hAnsi="Times New Roman" w:eastAsia="仿宋_GB2312" w:cs="宋体"/>
          <w:color w:val="000000"/>
          <w:sz w:val="32"/>
          <w:szCs w:val="32"/>
          <w:lang w:val="en-US" w:eastAsia="zh-CN" w:bidi="ar"/>
        </w:rPr>
        <w:t>申请者近五年来作为第一作者（或导师指导的研究生为第一作者，导师本人为通讯作者）发表至少1篇与指导专业相关的学术性研究论文，该论文须达到以下要求之一：</w:t>
      </w:r>
    </w:p>
    <w:p w14:paraId="1E90B1F8">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（1）</w:t>
      </w:r>
      <w:r>
        <w:rPr>
          <w:rFonts w:hint="eastAsia" w:ascii="Times New Roman" w:hAnsi="Times New Roman" w:eastAsia="仿宋_GB2312" w:cs="宋体"/>
          <w:color w:val="000000"/>
          <w:sz w:val="32"/>
          <w:szCs w:val="32"/>
          <w:lang w:val="en-US" w:eastAsia="zh" w:bidi="ar"/>
        </w:rPr>
        <w:t>发表在</w:t>
      </w:r>
      <w:r>
        <w:rPr>
          <w:rFonts w:hint="eastAsia" w:ascii="Times New Roman" w:hAnsi="Times New Roman" w:eastAsia="仿宋_GB2312" w:cs="宋体"/>
          <w:color w:val="000000"/>
          <w:sz w:val="32"/>
          <w:szCs w:val="32"/>
          <w:lang w:val="en-US" w:eastAsia="zh-CN" w:bidi="ar"/>
        </w:rPr>
        <w:t>中国科学院分区2区及以上</w:t>
      </w:r>
      <w:r>
        <w:rPr>
          <w:rFonts w:hint="eastAsia" w:ascii="Times New Roman" w:hAnsi="Times New Roman" w:eastAsia="仿宋_GB2312" w:cs="宋体"/>
          <w:color w:val="000000"/>
          <w:sz w:val="32"/>
          <w:szCs w:val="32"/>
          <w:lang w:val="en-US" w:eastAsia="zh" w:bidi="ar"/>
        </w:rPr>
        <w:t>的SCI检索源期刊上</w:t>
      </w:r>
      <w:r>
        <w:rPr>
          <w:rFonts w:hint="eastAsia" w:ascii="Times New Roman" w:hAnsi="Times New Roman" w:eastAsia="仿宋_GB2312" w:cs="宋体"/>
          <w:color w:val="000000"/>
          <w:sz w:val="32"/>
          <w:szCs w:val="32"/>
          <w:lang w:val="en-US" w:eastAsia="zh-CN" w:bidi="ar"/>
        </w:rPr>
        <w:t>。</w:t>
      </w:r>
    </w:p>
    <w:p w14:paraId="704D33E9">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（2）</w:t>
      </w:r>
      <w:r>
        <w:rPr>
          <w:rFonts w:hint="eastAsia" w:ascii="Times New Roman" w:hAnsi="Times New Roman" w:eastAsia="仿宋_GB2312" w:cs="宋体"/>
          <w:color w:val="000000"/>
          <w:sz w:val="32"/>
          <w:szCs w:val="32"/>
          <w:lang w:val="en-US" w:eastAsia="zh" w:bidi="ar"/>
        </w:rPr>
        <w:t>发表在</w:t>
      </w:r>
      <w:r>
        <w:rPr>
          <w:rFonts w:hint="eastAsia" w:ascii="Times New Roman" w:hAnsi="Times New Roman" w:eastAsia="仿宋_GB2312" w:cs="宋体"/>
          <w:color w:val="000000"/>
          <w:sz w:val="32"/>
          <w:szCs w:val="32"/>
          <w:lang w:val="en-US" w:eastAsia="zh-CN" w:bidi="ar"/>
        </w:rPr>
        <w:t>长春光机所学位评定委员会审定的</w:t>
      </w:r>
      <w:r>
        <w:rPr>
          <w:rFonts w:hint="eastAsia" w:ascii="Times New Roman" w:hAnsi="Times New Roman" w:eastAsia="仿宋_GB2312" w:cs="宋体"/>
          <w:color w:val="000000"/>
          <w:sz w:val="32"/>
          <w:szCs w:val="32"/>
          <w:lang w:val="en-US" w:eastAsia="zh" w:bidi="ar"/>
        </w:rPr>
        <w:t>可抵二区及以上的期刊或会议文集上</w:t>
      </w:r>
      <w:r>
        <w:rPr>
          <w:rFonts w:hint="eastAsia" w:ascii="Times New Roman" w:hAnsi="Times New Roman" w:eastAsia="仿宋_GB2312" w:cs="宋体"/>
          <w:color w:val="000000"/>
          <w:sz w:val="32"/>
          <w:szCs w:val="32"/>
          <w:lang w:val="en-US" w:eastAsia="zh-CN" w:bidi="ar"/>
        </w:rPr>
        <w:t>。</w:t>
      </w:r>
    </w:p>
    <w:p w14:paraId="26824F60">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ascii="Times New Roman" w:hAnsi="Times New Roman" w:eastAsia="仿宋_GB2312" w:cs="宋体"/>
          <w:color w:val="000000"/>
          <w:sz w:val="32"/>
          <w:szCs w:val="32"/>
          <w:lang w:val="en-US" w:eastAsia="zh-CN" w:bidi="ar"/>
        </w:rPr>
        <w:t xml:space="preserve">2. </w:t>
      </w:r>
      <w:r>
        <w:rPr>
          <w:rFonts w:hint="eastAsia" w:ascii="Times New Roman" w:hAnsi="Times New Roman" w:eastAsia="仿宋_GB2312" w:cs="宋体"/>
          <w:color w:val="000000"/>
          <w:sz w:val="32"/>
          <w:szCs w:val="32"/>
          <w:lang w:val="en-US" w:eastAsia="zh-CN" w:bidi="ar"/>
        </w:rPr>
        <w:t>申请者近五年来作为第一作者（或导师指导的研究生为第一作者，导师本人为通讯作者）在SCI检索的源期刊上发表至少2篇与指导专业相关的学术性研究论文。</w:t>
      </w:r>
    </w:p>
    <w:p w14:paraId="4C963F66">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（六）至少已完整培养出一届合格的硕士研究生。</w:t>
      </w:r>
    </w:p>
    <w:p w14:paraId="4DBC0A08">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（七）有协助本人指导博士研究生的学术队伍。</w:t>
      </w:r>
    </w:p>
    <w:p w14:paraId="12E4B063">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（八）新遴选的博士研究生导师上岗年龄一般不超过50周岁。</w:t>
      </w:r>
    </w:p>
    <w:p w14:paraId="2304F3C0">
      <w:pPr>
        <w:adjustRightInd w:val="0"/>
        <w:snapToGrid w:val="0"/>
        <w:spacing w:line="560" w:lineRule="exact"/>
        <w:ind w:firstLine="616" w:firstLineChars="200"/>
        <w:jc w:val="both"/>
        <w:rPr>
          <w:rFonts w:hint="eastAsia" w:ascii="Times New Roman" w:hAnsi="Times New Roman" w:eastAsia="仿宋_GB2312" w:cs="黑体"/>
          <w:bCs/>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第十条</w:t>
      </w:r>
      <w:r>
        <w:rPr>
          <w:rFonts w:hint="eastAsia" w:ascii="Times New Roman" w:hAnsi="Times New Roman" w:eastAsia="仿宋_GB2312" w:cs="黑体"/>
          <w:bCs/>
          <w:color w:val="000000"/>
          <w:sz w:val="32"/>
          <w:szCs w:val="32"/>
          <w:lang w:val="en-US" w:eastAsia="zh-CN" w:bidi="ar"/>
        </w:rPr>
        <w:t>　</w:t>
      </w:r>
      <w:r>
        <w:rPr>
          <w:rFonts w:hint="eastAsia" w:ascii="Times New Roman" w:hAnsi="Times New Roman" w:eastAsia="仿宋_GB2312" w:cs="宋体"/>
          <w:color w:val="000000"/>
          <w:sz w:val="32"/>
          <w:szCs w:val="32"/>
          <w:lang w:val="en-US" w:eastAsia="zh-CN" w:bidi="ar"/>
        </w:rPr>
        <w:t>出现下列情况之一的导师，取消其导师资格：</w:t>
      </w:r>
    </w:p>
    <w:p w14:paraId="4E0DE168">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（一）人事关系调离长春光机所的；</w:t>
      </w:r>
    </w:p>
    <w:p w14:paraId="7E8BF9E3">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（二）调离科研岗位或教学科研岗位的；</w:t>
      </w:r>
    </w:p>
    <w:p w14:paraId="3A11CCD7">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（三）连续两年在导师年度岗位考核评议中结果为D的；</w:t>
      </w:r>
    </w:p>
    <w:p w14:paraId="49278FD6">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（四）在导师年度岗位考核评议中触发中止项的。</w:t>
      </w:r>
    </w:p>
    <w:p w14:paraId="70A8A30C">
      <w:pPr>
        <w:adjustRightInd w:val="0"/>
        <w:snapToGrid w:val="0"/>
        <w:spacing w:before="287" w:beforeLines="50" w:after="287" w:afterLines="5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bidi="ar-SA"/>
        </w:rPr>
        <w:t>第四章 导师遴选与聘任</w:t>
      </w:r>
    </w:p>
    <w:p w14:paraId="10B091B8">
      <w:pPr>
        <w:adjustRightInd w:val="0"/>
        <w:snapToGrid w:val="0"/>
        <w:spacing w:line="560" w:lineRule="exact"/>
        <w:ind w:firstLine="616" w:firstLineChars="200"/>
        <w:jc w:val="both"/>
        <w:rPr>
          <w:rFonts w:hint="eastAsia" w:ascii="Times New Roman" w:hAnsi="Times New Roman" w:eastAsia="仿宋_GB2312" w:cs="黑体"/>
          <w:b/>
          <w:bCs/>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 xml:space="preserve">第十一条  </w:t>
      </w:r>
      <w:r>
        <w:rPr>
          <w:rFonts w:hint="eastAsia" w:ascii="Times New Roman" w:hAnsi="Times New Roman" w:eastAsia="仿宋_GB2312" w:cs="宋体"/>
          <w:color w:val="000000"/>
          <w:sz w:val="32"/>
          <w:szCs w:val="32"/>
          <w:lang w:val="en-US" w:eastAsia="zh-CN" w:bidi="ar"/>
        </w:rPr>
        <w:t>导师遴选工作程序如下：</w:t>
      </w:r>
    </w:p>
    <w:p w14:paraId="13321A9A">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 xml:space="preserve">（一）个人申报与初审。符合申请导师资格条件的申请人，根据国科大工作安排在教育业务管理平台填写《中国科学院大学研究生指导教师资格申请表》，按要求提供有关证明材料，提请研究生部初审。研究生部确认申请人材料的真实性，并将符合条件的申请人材料提请长春光机所学位评定委员会审议。 </w:t>
      </w:r>
    </w:p>
    <w:p w14:paraId="662DC60D">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二）长春光机所学位评定委员会审议。根据长春光机所的学科发展需要、岗位设置情况、导师资格申请条件对申请人材料进行审议，重点考察政治素养、师德师风、学术水平、科研实践能力和培养研究生条件等。以无记名投票方式审议确定通过人员名单，同意票数超过全体委员三分之二为通过。通过的申请人名单报相关学科群学位评定分委员会审议。</w:t>
      </w:r>
    </w:p>
    <w:p w14:paraId="391D2415">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 xml:space="preserve">（三）学科群学位评定分委员会审议。学科群分会秘书处对相关材料进行复审，提交审核报告到学科群学位评定分委员会。学科群学位评定分委员会对申请人材料进行审议，并以无记名投票方式表决，同意票数超过全体委员半数为通过。通过的申请人名单报校学位评定委员会审议。 </w:t>
      </w:r>
    </w:p>
    <w:p w14:paraId="1474EDA8">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（四）校学位评定委员会审议。校学位评定委员会对学科群学位评定分委员会报送的申请人材料进行审议，并以无记名投票方式表决，同意票数超过全体委员半数为通过。</w:t>
      </w:r>
    </w:p>
    <w:p w14:paraId="3CBCFA83">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（五）已通过导师遴选的导师名单将采取适当的方式公示。</w:t>
      </w:r>
    </w:p>
    <w:p w14:paraId="43907646">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 xml:space="preserve">第十二条  </w:t>
      </w:r>
      <w:r>
        <w:rPr>
          <w:rFonts w:hint="eastAsia" w:ascii="Times New Roman" w:hAnsi="Times New Roman" w:eastAsia="仿宋_GB2312" w:cs="宋体"/>
          <w:color w:val="000000"/>
          <w:sz w:val="32"/>
          <w:szCs w:val="32"/>
          <w:lang w:val="en-US" w:eastAsia="zh-CN" w:bidi="ar"/>
        </w:rPr>
        <w:t>导师通过遴选后，须在中国科学院大学教育业务管理平台确认其招生的一级学科与具体专业，确认后在其当前聘期内将被锁定，原则上不可变更，且导师的实际招生专业必须与此保持一致。</w:t>
      </w:r>
    </w:p>
    <w:p w14:paraId="2CC3CBF3">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 xml:space="preserve">第十三条  </w:t>
      </w:r>
      <w:r>
        <w:rPr>
          <w:rFonts w:hint="eastAsia" w:ascii="Times New Roman" w:hAnsi="Times New Roman" w:eastAsia="仿宋_GB2312" w:cs="宋体"/>
          <w:color w:val="000000"/>
          <w:sz w:val="32"/>
          <w:szCs w:val="32"/>
          <w:lang w:val="en-US" w:eastAsia="zh-CN" w:bidi="ar"/>
        </w:rPr>
        <w:t>已通过导师遴选的导师须按要求参加国科大组织的导师培训，无故不参与培训或培训不合格者取消其导师资格。再次获得导师资格需重新参与导师遴选。</w:t>
      </w:r>
    </w:p>
    <w:p w14:paraId="6E99FB19">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 xml:space="preserve">第十四条  </w:t>
      </w:r>
      <w:r>
        <w:rPr>
          <w:rFonts w:hint="eastAsia" w:ascii="Times New Roman" w:hAnsi="Times New Roman" w:eastAsia="仿宋_GB2312" w:cs="宋体"/>
          <w:color w:val="000000"/>
          <w:sz w:val="32"/>
          <w:szCs w:val="32"/>
          <w:lang w:val="en-US" w:eastAsia="zh-CN" w:bidi="ar"/>
        </w:rPr>
        <w:t>导师岗位实行聘任制，已通过导师遴选的导师聘期为 五年。期满考核通过者可以申请续聘。期满考核通过须满足以下条件：</w:t>
      </w:r>
    </w:p>
    <w:p w14:paraId="684F6C01">
      <w:pPr>
        <w:numPr>
          <w:ilvl w:val="0"/>
          <w:numId w:val="1"/>
        </w:num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导师岗位考核评议中从未触发中止项；</w:t>
      </w:r>
    </w:p>
    <w:p w14:paraId="43429CE1">
      <w:pPr>
        <w:numPr>
          <w:ilvl w:val="0"/>
          <w:numId w:val="1"/>
        </w:num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未出现连续两年导师岗位考核评议结果为D；</w:t>
      </w:r>
    </w:p>
    <w:p w14:paraId="51368D23">
      <w:pPr>
        <w:numPr>
          <w:ilvl w:val="0"/>
          <w:numId w:val="1"/>
        </w:num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宋体"/>
          <w:color w:val="000000"/>
          <w:sz w:val="32"/>
          <w:szCs w:val="32"/>
          <w:lang w:val="en-US" w:eastAsia="zh-CN" w:bidi="ar"/>
        </w:rPr>
        <w:t>聘期内（暂停招生时间不计入）至少招收一届研究生。</w:t>
      </w:r>
    </w:p>
    <w:p w14:paraId="6F0D1EA5">
      <w:pPr>
        <w:adjustRightInd w:val="0"/>
        <w:snapToGrid w:val="0"/>
        <w:spacing w:before="287" w:beforeLines="50" w:after="287" w:afterLines="5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bidi="ar-SA"/>
        </w:rPr>
        <w:t>第五章 导师岗位考核评议</w:t>
      </w:r>
    </w:p>
    <w:p w14:paraId="72817B82">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第十五条</w:t>
      </w:r>
      <w:r>
        <w:rPr>
          <w:rFonts w:hint="eastAsia" w:ascii="Times New Roman" w:hAnsi="Times New Roman" w:eastAsia="仿宋_GB2312" w:cs="宋体"/>
          <w:bCs/>
          <w:color w:val="000000"/>
          <w:sz w:val="32"/>
          <w:szCs w:val="32"/>
          <w:lang w:val="en-US" w:eastAsia="zh-CN" w:bidi="ar"/>
        </w:rPr>
        <w:t xml:space="preserve">  导师岗位考核评议工作每年度进行一次，由研究生部负责具体组织实施。为充分发挥导师岗位考核的引导和激励功能，长春光机所将导师岗位考核结果作为评选优秀导师、审核招生资格、分配招生指标的重要依据。</w:t>
      </w:r>
    </w:p>
    <w:p w14:paraId="61D26700">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第十六条</w:t>
      </w:r>
      <w:r>
        <w:rPr>
          <w:rFonts w:hint="eastAsia" w:ascii="Times New Roman" w:hAnsi="Times New Roman" w:eastAsia="仿宋_GB2312" w:cs="黑体"/>
          <w:bCs/>
          <w:color w:val="000000"/>
          <w:sz w:val="32"/>
          <w:szCs w:val="32"/>
          <w:lang w:val="en-US" w:eastAsia="zh-CN" w:bidi="ar"/>
        </w:rPr>
        <w:t xml:space="preserve">  </w:t>
      </w:r>
      <w:r>
        <w:rPr>
          <w:rFonts w:hint="eastAsia" w:ascii="Times New Roman" w:hAnsi="Times New Roman" w:eastAsia="仿宋_GB2312" w:cs="宋体"/>
          <w:bCs/>
          <w:color w:val="000000"/>
          <w:sz w:val="32"/>
          <w:szCs w:val="32"/>
          <w:lang w:val="en-US" w:eastAsia="zh-CN" w:bidi="ar"/>
        </w:rPr>
        <w:t>导师岗位考核评议以导师落实立德树人职责为根本依据，以指导研究生“培养全过程”质量为重要参考。导师岗位考核评议采取“三级指标”体系。分别从：岗位基本职责、研究生培养质量、研究生科学研究水平以及中止项四个方面进行考核，考核结果根据分数排名分为四档（结果用A、B、C、D表示）。年度考核排名前5%为A档，排名6-70%为B档，排名71-95%为C档，排名后5%为D档。量化指标见《中国科学院长春</w:t>
      </w:r>
      <w:r>
        <w:rPr>
          <w:rFonts w:hint="eastAsia" w:ascii="Times New Roman" w:hAnsi="Times New Roman" w:eastAsia="仿宋_GB2312" w:cs="宋体"/>
          <w:bCs/>
          <w:color w:val="000000"/>
          <w:sz w:val="32"/>
          <w:szCs w:val="32"/>
          <w:lang w:val="en-US" w:eastAsia="zh" w:bidi="ar"/>
        </w:rPr>
        <w:t>光机所</w:t>
      </w:r>
      <w:r>
        <w:rPr>
          <w:rFonts w:hint="eastAsia" w:ascii="Times New Roman" w:hAnsi="Times New Roman" w:eastAsia="仿宋_GB2312" w:cs="宋体"/>
          <w:bCs/>
          <w:color w:val="000000"/>
          <w:sz w:val="32"/>
          <w:szCs w:val="32"/>
          <w:lang w:val="en-US" w:eastAsia="zh-CN" w:bidi="ar"/>
        </w:rPr>
        <w:t>导师岗位考核评议指标体系》。</w:t>
      </w:r>
    </w:p>
    <w:p w14:paraId="2D3188C7">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第十七条</w:t>
      </w:r>
      <w:r>
        <w:rPr>
          <w:rFonts w:hint="eastAsia" w:ascii="Times New Roman" w:hAnsi="Times New Roman" w:eastAsia="仿宋_GB2312" w:cs="宋体"/>
          <w:bCs/>
          <w:color w:val="000000"/>
          <w:sz w:val="32"/>
          <w:szCs w:val="32"/>
          <w:lang w:val="en-US" w:eastAsia="zh-CN" w:bidi="ar"/>
        </w:rPr>
        <w:t xml:space="preserve">  岗位考核奖惩措施按如下方法进行，考核结果与奖惩报所务会审批。</w:t>
      </w:r>
    </w:p>
    <w:p w14:paraId="6EFE5E58">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宋体"/>
          <w:bCs/>
          <w:color w:val="000000"/>
          <w:sz w:val="32"/>
          <w:szCs w:val="32"/>
          <w:lang w:val="en-US" w:eastAsia="zh-CN" w:bidi="ar"/>
        </w:rPr>
        <w:t>（一）奖励措施</w:t>
      </w:r>
    </w:p>
    <w:p w14:paraId="12F45282">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宋体"/>
          <w:bCs/>
          <w:color w:val="000000"/>
          <w:sz w:val="32"/>
          <w:szCs w:val="32"/>
          <w:lang w:val="en-US" w:eastAsia="zh-CN" w:bidi="ar"/>
        </w:rPr>
        <w:t>考核结果为A的导师，下一年度招生指标增加1名，授予“</w:t>
      </w:r>
      <w:r>
        <w:rPr>
          <w:rFonts w:hint="eastAsia" w:ascii="Times New Roman" w:hAnsi="Times New Roman" w:eastAsia="仿宋_GB2312" w:cs="宋体"/>
          <w:bCs/>
          <w:color w:val="000000"/>
          <w:sz w:val="32"/>
          <w:szCs w:val="32"/>
          <w:lang w:val="en-US" w:eastAsia="zh" w:bidi="ar"/>
        </w:rPr>
        <w:t>中国科学院长春光机所</w:t>
      </w:r>
      <w:r>
        <w:rPr>
          <w:rFonts w:hint="eastAsia" w:ascii="Times New Roman" w:hAnsi="Times New Roman" w:eastAsia="仿宋_GB2312" w:cs="宋体"/>
          <w:bCs/>
          <w:color w:val="000000"/>
          <w:sz w:val="32"/>
          <w:szCs w:val="32"/>
          <w:lang w:val="en-US" w:eastAsia="zh-CN" w:bidi="ar"/>
        </w:rPr>
        <w:t>优秀导师”称号。</w:t>
      </w:r>
    </w:p>
    <w:p w14:paraId="4945E2AF">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宋体"/>
          <w:bCs/>
          <w:color w:val="000000"/>
          <w:sz w:val="32"/>
          <w:szCs w:val="32"/>
          <w:lang w:val="en-US" w:eastAsia="zh-CN" w:bidi="ar"/>
        </w:rPr>
        <w:t>（二）惩戒措施</w:t>
      </w:r>
    </w:p>
    <w:p w14:paraId="5BA1A36D">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宋体"/>
          <w:bCs/>
          <w:color w:val="000000"/>
          <w:sz w:val="32"/>
          <w:szCs w:val="32"/>
          <w:lang w:val="en-US" w:eastAsia="zh-CN" w:bidi="ar"/>
        </w:rPr>
        <w:t>考核结果连续三年为C及以下等级的导师，下一年度招生指标扣除1名；考核结果连续两年为D或在考核过程中触发中止项的导师，取消其导师资格。再次申请招生时须重新参加导师遴选。</w:t>
      </w:r>
    </w:p>
    <w:p w14:paraId="49D3EDE0">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第十八条</w:t>
      </w:r>
      <w:r>
        <w:rPr>
          <w:rFonts w:hint="eastAsia" w:ascii="Times New Roman" w:hAnsi="Times New Roman" w:eastAsia="仿宋_GB2312" w:cs="宋体"/>
          <w:bCs/>
          <w:color w:val="000000"/>
          <w:sz w:val="32"/>
          <w:szCs w:val="32"/>
          <w:lang w:val="en-US" w:eastAsia="zh-CN" w:bidi="ar"/>
        </w:rPr>
        <w:t xml:space="preserve">  研究生申请副导师时，两位导师须在研究生培养起始阶段明确导师之间的指导责任及奖惩分配。</w:t>
      </w:r>
    </w:p>
    <w:p w14:paraId="594CA49C">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第十九条</w:t>
      </w:r>
      <w:r>
        <w:rPr>
          <w:rFonts w:hint="eastAsia" w:ascii="Times New Roman" w:hAnsi="Times New Roman" w:eastAsia="仿宋_GB2312" w:cs="黑体"/>
          <w:bCs/>
          <w:color w:val="000000"/>
          <w:sz w:val="32"/>
          <w:szCs w:val="32"/>
          <w:lang w:val="en-US" w:eastAsia="zh-CN" w:bidi="ar"/>
        </w:rPr>
        <w:t xml:space="preserve">  </w:t>
      </w:r>
      <w:r>
        <w:rPr>
          <w:rFonts w:hint="eastAsia" w:ascii="Times New Roman" w:hAnsi="Times New Roman" w:eastAsia="仿宋_GB2312" w:cs="宋体"/>
          <w:bCs/>
          <w:color w:val="000000"/>
          <w:sz w:val="32"/>
          <w:szCs w:val="32"/>
          <w:lang w:val="en-US" w:eastAsia="zh-CN" w:bidi="ar"/>
        </w:rPr>
        <w:t>导师岗位考核评议按照博士研究生导师、硕士研究生导师分类进行。新遴选的硕士研究生导师上岗第一、二年学习新导师系统培训课程并进行定期考核，从上岗第三年开始进行导师岗位考核评议。</w:t>
      </w:r>
    </w:p>
    <w:p w14:paraId="1EE53C58">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 xml:space="preserve">第二十条  </w:t>
      </w:r>
      <w:r>
        <w:rPr>
          <w:rFonts w:hint="eastAsia" w:ascii="Times New Roman" w:hAnsi="Times New Roman" w:eastAsia="仿宋_GB2312" w:cs="宋体"/>
          <w:bCs/>
          <w:color w:val="000000"/>
          <w:sz w:val="32"/>
          <w:szCs w:val="32"/>
          <w:lang w:val="en-US" w:eastAsia="zh-CN" w:bidi="ar"/>
        </w:rPr>
        <w:t>获得中国科学院大学“立德树人”奖的导师，当年导师岗位考核评议直接评为A。</w:t>
      </w:r>
    </w:p>
    <w:p w14:paraId="0E19E51E">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第二十一条</w:t>
      </w:r>
      <w:r>
        <w:rPr>
          <w:rFonts w:hint="eastAsia" w:ascii="Times New Roman" w:hAnsi="Times New Roman" w:eastAsia="仿宋_GB2312" w:cs="黑体"/>
          <w:bCs/>
          <w:color w:val="000000"/>
          <w:sz w:val="32"/>
          <w:szCs w:val="32"/>
          <w:lang w:val="en-US" w:eastAsia="zh-CN" w:bidi="ar"/>
        </w:rPr>
        <w:t xml:space="preserve">  </w:t>
      </w:r>
      <w:r>
        <w:rPr>
          <w:rFonts w:hint="eastAsia" w:ascii="Times New Roman" w:hAnsi="Times New Roman" w:eastAsia="仿宋_GB2312" w:cs="宋体"/>
          <w:bCs/>
          <w:color w:val="000000"/>
          <w:sz w:val="32"/>
          <w:szCs w:val="32"/>
          <w:lang w:val="en-US" w:eastAsia="zh-CN" w:bidi="ar"/>
        </w:rPr>
        <w:t>建立考核结果公示制度，考核结果将反馈给导师和所在研究部室，并以适当方式在所内公示。</w:t>
      </w:r>
    </w:p>
    <w:p w14:paraId="1E8B9B29">
      <w:pPr>
        <w:adjustRightInd w:val="0"/>
        <w:snapToGrid w:val="0"/>
        <w:spacing w:line="560" w:lineRule="exact"/>
        <w:ind w:firstLine="616" w:firstLineChars="200"/>
        <w:jc w:val="both"/>
        <w:rPr>
          <w:rFonts w:hint="eastAsia" w:ascii="Times New Roman" w:hAnsi="Times New Roman" w:eastAsia="仿宋_GB2312" w:cs="宋体"/>
          <w:bCs/>
          <w:color w:val="000000"/>
          <w:sz w:val="32"/>
          <w:szCs w:val="32"/>
          <w:lang w:val="en-US" w:eastAsia="zh-CN"/>
        </w:rPr>
      </w:pPr>
      <w:r>
        <w:rPr>
          <w:rFonts w:hint="eastAsia" w:ascii="Times New Roman" w:hAnsi="Times New Roman" w:eastAsia="仿宋_GB2312" w:cs="黑体"/>
          <w:b/>
          <w:color w:val="000000"/>
          <w:sz w:val="32"/>
          <w:szCs w:val="32"/>
          <w:lang w:val="en-US" w:eastAsia="zh-CN" w:bidi="ar"/>
        </w:rPr>
        <w:t>第二十二条</w:t>
      </w:r>
      <w:r>
        <w:rPr>
          <w:rFonts w:hint="eastAsia" w:ascii="Times New Roman" w:hAnsi="Times New Roman" w:eastAsia="仿宋_GB2312" w:cs="黑体"/>
          <w:bCs/>
          <w:color w:val="000000"/>
          <w:sz w:val="32"/>
          <w:szCs w:val="32"/>
          <w:lang w:val="en-US" w:eastAsia="zh-CN" w:bidi="ar"/>
        </w:rPr>
        <w:t xml:space="preserve"> </w:t>
      </w:r>
      <w:r>
        <w:rPr>
          <w:rFonts w:hint="eastAsia" w:ascii="Times New Roman" w:hAnsi="Times New Roman" w:eastAsia="仿宋_GB2312" w:cs="宋体"/>
          <w:bCs/>
          <w:color w:val="000000"/>
          <w:sz w:val="32"/>
          <w:szCs w:val="32"/>
          <w:lang w:val="en-US" w:eastAsia="zh-CN" w:bidi="ar"/>
        </w:rPr>
        <w:t xml:space="preserve"> 导师有权对考核结果申请复议，研究生部负责根据复议申请进行调查，调查结果报长春光机所学位评定委员会，由长春光机所学位评定委员会做出最终复议结论。</w:t>
      </w:r>
    </w:p>
    <w:p w14:paraId="76922AD4">
      <w:pPr>
        <w:adjustRightInd w:val="0"/>
        <w:snapToGrid w:val="0"/>
        <w:spacing w:before="287" w:beforeLines="50" w:after="287" w:afterLines="5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bidi="ar-SA"/>
        </w:rPr>
        <w:t>第六章  导师招生资格</w:t>
      </w:r>
    </w:p>
    <w:p w14:paraId="3CA0ABA2">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第二十三条</w:t>
      </w:r>
      <w:r>
        <w:rPr>
          <w:rFonts w:hint="eastAsia" w:ascii="Times New Roman" w:hAnsi="Times New Roman" w:eastAsia="仿宋_GB2312" w:cs="宋体"/>
          <w:color w:val="000000"/>
          <w:sz w:val="32"/>
          <w:szCs w:val="32"/>
          <w:shd w:val="clear" w:color="auto" w:fill="FFFFFF"/>
          <w:lang w:val="en-US" w:eastAsia="zh-CN" w:bidi="ar"/>
        </w:rPr>
        <w:t xml:space="preserve">  导师招生资格审核工作每年度进行一次，在下一年度招生工作开始前，通过中国科学院大学教育业务管理平台填写《中国科学院大学研究生指导教师XX年度招收研究生申请表》。</w:t>
      </w:r>
    </w:p>
    <w:p w14:paraId="044024D6">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第二十四条</w:t>
      </w:r>
      <w:r>
        <w:rPr>
          <w:rFonts w:hint="eastAsia" w:ascii="Times New Roman" w:hAnsi="Times New Roman" w:eastAsia="仿宋_GB2312" w:cs="宋体"/>
          <w:color w:val="000000"/>
          <w:sz w:val="32"/>
          <w:szCs w:val="32"/>
          <w:lang w:val="en-US" w:eastAsia="zh-CN" w:bidi="ar"/>
        </w:rPr>
        <w:t xml:space="preserve">  申请下一年度招生资格的导师应具备以下条件：</w:t>
      </w:r>
    </w:p>
    <w:p w14:paraId="41688AFC">
      <w:pPr>
        <w:adjustRightInd w:val="0"/>
        <w:snapToGrid w:val="0"/>
        <w:spacing w:line="560" w:lineRule="exact"/>
        <w:ind w:firstLine="616" w:firstLineChars="200"/>
        <w:jc w:val="both"/>
        <w:rPr>
          <w:rFonts w:hint="eastAsia" w:ascii="Times New Roman" w:hAnsi="Times New Roman" w:eastAsia="仿宋_GB2312" w:cs="黑体"/>
          <w:color w:val="000000"/>
          <w:sz w:val="32"/>
          <w:szCs w:val="32"/>
          <w:lang w:val="en-US" w:eastAsia="zh-CN"/>
        </w:rPr>
      </w:pPr>
      <w:r>
        <w:rPr>
          <w:rFonts w:hint="eastAsia" w:ascii="Times New Roman" w:hAnsi="Times New Roman" w:eastAsia="仿宋_GB2312" w:cs="宋体"/>
          <w:color w:val="000000"/>
          <w:sz w:val="32"/>
          <w:szCs w:val="32"/>
          <w:lang w:val="en-US" w:eastAsia="zh-CN" w:bidi="ar"/>
        </w:rPr>
        <w:t>（一）具有导师资格；</w:t>
      </w:r>
    </w:p>
    <w:p w14:paraId="55F39F7D">
      <w:pPr>
        <w:adjustRightInd w:val="0"/>
        <w:snapToGrid w:val="0"/>
        <w:spacing w:line="560" w:lineRule="exact"/>
        <w:ind w:firstLine="616" w:firstLineChars="200"/>
        <w:jc w:val="both"/>
        <w:rPr>
          <w:rFonts w:hint="eastAsia" w:ascii="Times New Roman" w:hAnsi="Times New Roman" w:eastAsia="仿宋_GB2312" w:cs="黑体"/>
          <w:color w:val="000000"/>
          <w:sz w:val="32"/>
          <w:szCs w:val="32"/>
          <w:lang w:val="en-US" w:eastAsia="zh-CN"/>
        </w:rPr>
      </w:pPr>
      <w:r>
        <w:rPr>
          <w:rFonts w:hint="eastAsia" w:ascii="Times New Roman" w:hAnsi="Times New Roman" w:eastAsia="仿宋_GB2312" w:cs="宋体"/>
          <w:color w:val="000000"/>
          <w:sz w:val="32"/>
          <w:szCs w:val="32"/>
          <w:lang w:val="en-US" w:eastAsia="zh-CN" w:bidi="ar"/>
        </w:rPr>
        <w:t>（二）已提交《中国科学院大学研究生指导教师XX年度招收研究生申请表》；</w:t>
      </w:r>
    </w:p>
    <w:p w14:paraId="5EA14AAC">
      <w:pPr>
        <w:adjustRightInd w:val="0"/>
        <w:snapToGrid w:val="0"/>
        <w:spacing w:line="560" w:lineRule="exact"/>
        <w:ind w:firstLine="616" w:firstLineChars="200"/>
        <w:jc w:val="both"/>
        <w:rPr>
          <w:rFonts w:hint="eastAsia" w:ascii="Times New Roman" w:hAnsi="Times New Roman" w:eastAsia="仿宋_GB2312" w:cs="黑体"/>
          <w:b/>
          <w:bCs/>
          <w:color w:val="000000"/>
          <w:sz w:val="32"/>
          <w:szCs w:val="32"/>
          <w:lang w:val="en-US" w:eastAsia="zh-CN"/>
        </w:rPr>
      </w:pPr>
      <w:r>
        <w:rPr>
          <w:rFonts w:hint="eastAsia" w:ascii="Times New Roman" w:hAnsi="Times New Roman" w:eastAsia="仿宋_GB2312" w:cs="宋体"/>
          <w:color w:val="000000"/>
          <w:sz w:val="32"/>
          <w:szCs w:val="32"/>
          <w:lang w:val="en-US" w:eastAsia="zh-CN" w:bidi="ar"/>
        </w:rPr>
        <w:t>（三）通过研究生部资格审核。</w:t>
      </w:r>
    </w:p>
    <w:p w14:paraId="06314450">
      <w:pPr>
        <w:numPr>
          <w:ilvl w:val="0"/>
          <w:numId w:val="0"/>
        </w:numPr>
        <w:adjustRightInd w:val="0"/>
        <w:snapToGrid w:val="0"/>
        <w:spacing w:before="287" w:beforeLines="50" w:after="287" w:afterLines="50" w:line="560" w:lineRule="exact"/>
        <w:jc w:val="center"/>
        <w:rPr>
          <w:rFonts w:hint="eastAsia" w:ascii="黑体" w:hAnsi="黑体" w:eastAsia="黑体" w:cs="黑体"/>
          <w:color w:val="000000"/>
          <w:sz w:val="32"/>
          <w:szCs w:val="32"/>
          <w:lang w:val="en-US" w:eastAsia="zh-CN"/>
        </w:rPr>
      </w:pPr>
      <w:r>
        <w:rPr>
          <w:rFonts w:hint="eastAsia" w:ascii="黑体" w:hAnsi="黑体" w:eastAsia="黑体" w:cs="宋体"/>
          <w:color w:val="000000"/>
          <w:sz w:val="32"/>
          <w:szCs w:val="32"/>
          <w:lang w:val="en-US" w:eastAsia="zh-CN"/>
        </w:rPr>
        <w:t xml:space="preserve">第七章 </w:t>
      </w:r>
      <w:r>
        <w:rPr>
          <w:rFonts w:hint="eastAsia" w:ascii="黑体" w:hAnsi="黑体" w:eastAsia="黑体" w:cs="黑体"/>
          <w:color w:val="000000"/>
          <w:sz w:val="32"/>
          <w:szCs w:val="32"/>
          <w:lang w:val="en-US" w:eastAsia="zh-CN" w:bidi="ar-SA"/>
        </w:rPr>
        <w:t>附则</w:t>
      </w:r>
    </w:p>
    <w:p w14:paraId="45891D16">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第二十五条</w:t>
      </w:r>
      <w:r>
        <w:rPr>
          <w:rFonts w:hint="eastAsia" w:ascii="Times New Roman" w:hAnsi="Times New Roman" w:eastAsia="仿宋_GB2312" w:cs="宋体"/>
          <w:color w:val="000000"/>
          <w:sz w:val="32"/>
          <w:szCs w:val="32"/>
          <w:shd w:val="clear" w:color="auto" w:fill="FFFFFF"/>
          <w:lang w:val="en-US" w:eastAsia="zh-CN" w:bidi="ar"/>
        </w:rPr>
        <w:t>　兼职导师选聘与管理</w:t>
      </w:r>
      <w:r>
        <w:rPr>
          <w:rFonts w:hint="eastAsia" w:ascii="Times New Roman" w:hAnsi="Times New Roman" w:eastAsia="仿宋_GB2312" w:cs="宋体"/>
          <w:color w:val="000000"/>
          <w:sz w:val="32"/>
          <w:szCs w:val="32"/>
          <w:shd w:val="clear" w:color="auto" w:fill="FFFFFF"/>
          <w:lang w:val="en-US" w:eastAsia="zh" w:bidi="ar"/>
        </w:rPr>
        <w:t>参</w:t>
      </w:r>
      <w:r>
        <w:rPr>
          <w:rFonts w:hint="eastAsia" w:ascii="Times New Roman" w:hAnsi="Times New Roman" w:eastAsia="仿宋_GB2312" w:cs="宋体"/>
          <w:color w:val="000000"/>
          <w:sz w:val="32"/>
          <w:szCs w:val="32"/>
          <w:shd w:val="clear" w:color="auto" w:fill="FFFFFF"/>
          <w:lang w:val="en-US" w:eastAsia="zh-CN" w:bidi="ar"/>
        </w:rPr>
        <w:t>照本细则</w:t>
      </w:r>
      <w:r>
        <w:rPr>
          <w:rFonts w:hint="eastAsia" w:ascii="Times New Roman" w:hAnsi="Times New Roman" w:eastAsia="仿宋_GB2312" w:cs="宋体"/>
          <w:color w:val="000000"/>
          <w:sz w:val="32"/>
          <w:szCs w:val="32"/>
          <w:shd w:val="clear" w:color="auto" w:fill="FFFFFF"/>
          <w:lang w:val="en-US" w:eastAsia="zh" w:bidi="ar"/>
        </w:rPr>
        <w:t>，须由长春光机所学位评定委员会审核通过后上岗</w:t>
      </w:r>
      <w:r>
        <w:rPr>
          <w:rFonts w:hint="eastAsia" w:ascii="Times New Roman" w:hAnsi="Times New Roman" w:eastAsia="仿宋_GB2312" w:cs="宋体"/>
          <w:color w:val="000000"/>
          <w:sz w:val="32"/>
          <w:szCs w:val="32"/>
          <w:shd w:val="clear" w:color="auto" w:fill="FFFFFF"/>
          <w:lang w:val="en-US" w:eastAsia="zh-CN" w:bidi="ar"/>
        </w:rPr>
        <w:t>。</w:t>
      </w:r>
      <w:r>
        <w:rPr>
          <w:rFonts w:hint="eastAsia" w:ascii="Times New Roman" w:hAnsi="Times New Roman" w:eastAsia="仿宋_GB2312" w:cs="宋体"/>
          <w:color w:val="000000"/>
          <w:sz w:val="32"/>
          <w:szCs w:val="32"/>
          <w:shd w:val="clear" w:color="auto" w:fill="FFFFFF"/>
          <w:lang w:val="en-US" w:eastAsia="zh" w:bidi="ar"/>
        </w:rPr>
        <w:t>兼职导师不得以长春光机所导师（或国科大导师）的名义从事与研究生培养无关的社会活动或有损国家、国科大声誉的活动。</w:t>
      </w:r>
      <w:r>
        <w:rPr>
          <w:rFonts w:hint="eastAsia" w:ascii="Times New Roman" w:hAnsi="Times New Roman" w:eastAsia="仿宋_GB2312" w:cs="宋体"/>
          <w:color w:val="000000"/>
          <w:sz w:val="32"/>
          <w:szCs w:val="32"/>
          <w:shd w:val="clear" w:color="auto" w:fill="FFFFFF"/>
          <w:lang w:val="en-US" w:eastAsia="zh-CN" w:bidi="ar"/>
        </w:rPr>
        <w:t>由兼职导师作为导师的研究生，须选择一位长春光机所在岗导师作为副导师。</w:t>
      </w:r>
    </w:p>
    <w:p w14:paraId="2A8B9EBB">
      <w:pPr>
        <w:adjustRightInd w:val="0"/>
        <w:snapToGrid w:val="0"/>
        <w:spacing w:line="560" w:lineRule="exact"/>
        <w:ind w:firstLine="616" w:firstLineChars="200"/>
        <w:jc w:val="both"/>
        <w:rPr>
          <w:rFonts w:hint="eastAsia" w:ascii="Times New Roman" w:hAnsi="Times New Roman" w:eastAsia="仿宋_GB2312" w:cs="黑体"/>
          <w:b/>
          <w:bCs/>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 xml:space="preserve">第二十六条 </w:t>
      </w:r>
      <w:r>
        <w:rPr>
          <w:rFonts w:hint="eastAsia" w:ascii="Times New Roman" w:hAnsi="Times New Roman" w:eastAsia="仿宋_GB2312" w:cs="宋体"/>
          <w:b/>
          <w:bCs/>
          <w:color w:val="000000"/>
          <w:sz w:val="32"/>
          <w:szCs w:val="32"/>
          <w:lang w:val="en-US" w:eastAsia="zh-CN" w:bidi="ar"/>
        </w:rPr>
        <w:t xml:space="preserve"> </w:t>
      </w:r>
      <w:r>
        <w:rPr>
          <w:rFonts w:hint="eastAsia" w:ascii="Times New Roman" w:hAnsi="Times New Roman" w:eastAsia="仿宋_GB2312" w:cs="宋体"/>
          <w:color w:val="000000"/>
          <w:sz w:val="32"/>
          <w:szCs w:val="32"/>
          <w:lang w:val="en-US" w:eastAsia="zh-CN" w:bidi="ar"/>
        </w:rPr>
        <w:t>博士研究生导师每年招收研究生总数不得超过三人，并且硕士或博士研究生数量均不得超过二人；硕士研究生导师每年招收研究生不得超过一人。副导师招生数量与对应培养层次导师保持一致。</w:t>
      </w:r>
    </w:p>
    <w:p w14:paraId="4F5802F3">
      <w:pPr>
        <w:adjustRightInd w:val="0"/>
        <w:snapToGrid w:val="0"/>
        <w:spacing w:line="560" w:lineRule="exact"/>
        <w:ind w:firstLine="616" w:firstLineChars="200"/>
        <w:jc w:val="both"/>
        <w:rPr>
          <w:rFonts w:hint="eastAsia" w:ascii="Times New Roman" w:hAnsi="Times New Roman" w:eastAsia="仿宋_GB2312" w:cs="宋体"/>
          <w:b/>
          <w:bCs/>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 xml:space="preserve">第二十七条 </w:t>
      </w:r>
      <w:r>
        <w:rPr>
          <w:rFonts w:hint="eastAsia" w:ascii="Times New Roman" w:hAnsi="Times New Roman" w:eastAsia="仿宋_GB2312" w:cs="宋体"/>
          <w:b/>
          <w:bCs/>
          <w:color w:val="000000"/>
          <w:sz w:val="32"/>
          <w:szCs w:val="32"/>
          <w:lang w:val="en-US" w:eastAsia="zh-CN" w:bidi="ar"/>
        </w:rPr>
        <w:t xml:space="preserve"> </w:t>
      </w:r>
      <w:r>
        <w:rPr>
          <w:rFonts w:hint="eastAsia" w:ascii="Times New Roman" w:hAnsi="Times New Roman" w:eastAsia="仿宋_GB2312" w:cs="宋体"/>
          <w:color w:val="000000"/>
          <w:sz w:val="32"/>
          <w:szCs w:val="32"/>
          <w:lang w:val="en-US" w:eastAsia="zh-CN" w:bidi="ar"/>
        </w:rPr>
        <w:t>本细则中的期刊均不包括增刊、专刊</w:t>
      </w:r>
      <w:r>
        <w:rPr>
          <w:rFonts w:hint="eastAsia" w:ascii="Times New Roman" w:hAnsi="Times New Roman" w:eastAsia="仿宋_GB2312" w:cs="宋体"/>
          <w:color w:val="000000"/>
          <w:sz w:val="32"/>
          <w:szCs w:val="32"/>
          <w:lang w:val="en-US" w:eastAsia="zh" w:bidi="ar"/>
        </w:rPr>
        <w:t>和</w:t>
      </w:r>
      <w:r>
        <w:rPr>
          <w:rFonts w:hint="eastAsia" w:ascii="Times New Roman" w:hAnsi="Times New Roman" w:eastAsia="仿宋_GB2312" w:cs="宋体"/>
          <w:color w:val="000000"/>
          <w:sz w:val="32"/>
          <w:szCs w:val="32"/>
          <w:lang w:val="en-US" w:eastAsia="zh-CN" w:bidi="ar"/>
        </w:rPr>
        <w:t>特刊。</w:t>
      </w:r>
    </w:p>
    <w:p w14:paraId="06D6448F">
      <w:pPr>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lang w:val="en-US" w:eastAsia="zh-CN" w:bidi="ar"/>
        </w:rPr>
        <w:t>第二十八条</w:t>
      </w:r>
      <w:r>
        <w:rPr>
          <w:rFonts w:hint="eastAsia" w:ascii="Times New Roman" w:hAnsi="Times New Roman" w:eastAsia="仿宋_GB2312" w:cs="宋体"/>
          <w:bCs/>
          <w:color w:val="000000"/>
          <w:sz w:val="32"/>
          <w:szCs w:val="32"/>
          <w:lang w:val="en-US" w:eastAsia="zh-CN" w:bidi="ar"/>
        </w:rPr>
        <w:t xml:space="preserve">  长春光机所新引进的“国家级高层次人才特支计划”“国家级高层次人才引进计划”“杰青”“海外优青”“优青”“中国科学院高层次人才引进计划”等高层次人才，无需参加导师遴选，当年可直接增列为博士生导师。</w:t>
      </w:r>
    </w:p>
    <w:p w14:paraId="76C9917E">
      <w:pPr>
        <w:shd w:val="clear" w:color="auto" w:fill="FFFFFF"/>
        <w:adjustRightInd w:val="0"/>
        <w:snapToGrid w:val="0"/>
        <w:spacing w:line="560" w:lineRule="exact"/>
        <w:ind w:firstLine="616" w:firstLineChars="200"/>
        <w:jc w:val="both"/>
        <w:rPr>
          <w:rFonts w:hint="eastAsia" w:ascii="Times New Roman" w:hAnsi="Times New Roman" w:eastAsia="仿宋_GB2312" w:cs="宋体"/>
          <w:color w:val="000000"/>
          <w:sz w:val="32"/>
          <w:szCs w:val="32"/>
          <w:lang w:val="en-US" w:eastAsia="zh-CN"/>
        </w:rPr>
      </w:pPr>
      <w:r>
        <w:rPr>
          <w:rFonts w:hint="eastAsia" w:ascii="Times New Roman" w:hAnsi="Times New Roman" w:eastAsia="仿宋_GB2312" w:cs="黑体"/>
          <w:b/>
          <w:bCs/>
          <w:color w:val="000000"/>
          <w:sz w:val="32"/>
          <w:szCs w:val="32"/>
          <w:shd w:val="clear" w:color="auto" w:fill="FFFFFF"/>
          <w:lang w:val="en-US" w:eastAsia="zh-CN" w:bidi="ar"/>
        </w:rPr>
        <w:t>第二十九条</w:t>
      </w:r>
      <w:r>
        <w:rPr>
          <w:rFonts w:hint="eastAsia" w:ascii="Times New Roman" w:hAnsi="Times New Roman" w:eastAsia="仿宋_GB2312" w:cs="宋体"/>
          <w:color w:val="000000"/>
          <w:sz w:val="32"/>
          <w:szCs w:val="32"/>
          <w:shd w:val="clear" w:color="auto" w:fill="FFFFFF"/>
          <w:lang w:val="en-US" w:eastAsia="zh-CN" w:bidi="ar"/>
        </w:rPr>
        <w:t xml:space="preserve">  导师原则上应在规定的退休年龄届至前能够完整指导一届研究生，在导师办理退休前三年不再对其进行招生资格审核。</w:t>
      </w:r>
    </w:p>
    <w:p w14:paraId="289563FB">
      <w:pPr>
        <w:shd w:val="clear" w:color="auto" w:fill="FFFFFF"/>
        <w:adjustRightInd w:val="0"/>
        <w:snapToGrid w:val="0"/>
        <w:spacing w:line="560" w:lineRule="exact"/>
        <w:ind w:firstLine="616" w:firstLineChars="200"/>
        <w:jc w:val="both"/>
        <w:rPr>
          <w:rFonts w:ascii="Times New Roman" w:hAnsi="Times New Roman" w:eastAsia="仿宋_GB2312" w:cs="宋体"/>
          <w:color w:val="000000"/>
          <w:sz w:val="32"/>
          <w:szCs w:val="32"/>
          <w:lang w:val="en-US" w:eastAsia="zh-CN" w:bidi="ar"/>
        </w:rPr>
      </w:pPr>
      <w:r>
        <w:rPr>
          <w:rFonts w:hint="eastAsia" w:ascii="Times New Roman" w:hAnsi="Times New Roman" w:eastAsia="仿宋_GB2312" w:cs="黑体"/>
          <w:b/>
          <w:bCs/>
          <w:color w:val="000000"/>
          <w:sz w:val="32"/>
          <w:szCs w:val="32"/>
          <w:shd w:val="clear" w:color="auto" w:fill="FFFFFF"/>
          <w:lang w:val="en-US" w:eastAsia="zh-CN" w:bidi="ar"/>
        </w:rPr>
        <w:t xml:space="preserve">第三十条  </w:t>
      </w:r>
      <w:r>
        <w:rPr>
          <w:rFonts w:hint="eastAsia" w:ascii="Times New Roman" w:hAnsi="Times New Roman" w:eastAsia="仿宋_GB2312" w:cs="宋体"/>
          <w:color w:val="000000"/>
          <w:sz w:val="32"/>
          <w:szCs w:val="32"/>
          <w:shd w:val="clear" w:color="auto" w:fill="FFFFFF"/>
          <w:lang w:val="en-US" w:eastAsia="zh-CN" w:bidi="ar"/>
        </w:rPr>
        <w:t>本办法自2025年12月起执行，由研究生部负责解释。《长春光机所研究生指导教师管理办法》（长光发〔2024〕79号）同时废止。</w:t>
      </w:r>
      <w:bookmarkEnd w:id="0"/>
    </w:p>
    <w:p w14:paraId="153D495E">
      <w:pPr>
        <w:shd w:val="clear" w:color="auto" w:fill="FFFFFF"/>
        <w:adjustRightInd w:val="0"/>
        <w:snapToGrid w:val="0"/>
        <w:spacing w:line="560" w:lineRule="exact"/>
        <w:ind w:firstLine="616" w:firstLineChars="200"/>
        <w:jc w:val="left"/>
        <w:rPr>
          <w:rFonts w:ascii="Times New Roman" w:hAnsi="Times New Roman" w:eastAsia="仿宋_GB2312" w:cs="宋体"/>
          <w:color w:val="000000"/>
          <w:sz w:val="32"/>
          <w:szCs w:val="32"/>
          <w:lang w:val="en-US" w:eastAsia="zh-CN" w:bidi="ar"/>
        </w:rPr>
      </w:pPr>
    </w:p>
    <w:p w14:paraId="788E94F4">
      <w:pPr>
        <w:shd w:val="clear" w:color="auto" w:fill="FFFFFF"/>
        <w:adjustRightInd w:val="0"/>
        <w:snapToGrid w:val="0"/>
        <w:spacing w:line="560" w:lineRule="exact"/>
        <w:ind w:firstLine="616" w:firstLineChars="200"/>
        <w:jc w:val="left"/>
        <w:rPr>
          <w:rFonts w:ascii="Times New Roman" w:hAnsi="Times New Roman" w:eastAsia="仿宋_GB2312" w:cs="宋体"/>
          <w:color w:val="000000"/>
          <w:sz w:val="32"/>
          <w:szCs w:val="32"/>
          <w:lang w:val="en-US" w:eastAsia="zh-CN" w:bidi="ar"/>
        </w:rPr>
      </w:pPr>
      <w:r>
        <w:rPr>
          <w:rFonts w:hint="eastAsia" w:ascii="Times New Roman" w:hAnsi="Times New Roman" w:eastAsia="仿宋_GB2312" w:cs="宋体"/>
          <w:color w:val="000000"/>
          <w:sz w:val="32"/>
          <w:szCs w:val="32"/>
          <w:shd w:val="clear" w:color="auto" w:fill="FFFFFF"/>
          <w:lang w:val="en-US" w:eastAsia="zh-CN" w:bidi="ar"/>
        </w:rPr>
        <w:t>附件：1</w:t>
      </w:r>
      <w:r>
        <w:rPr>
          <w:rFonts w:ascii="Times New Roman" w:hAnsi="Times New Roman" w:eastAsia="仿宋_GB2312" w:cs="宋体"/>
          <w:color w:val="000000"/>
          <w:sz w:val="32"/>
          <w:szCs w:val="32"/>
          <w:shd w:val="clear" w:color="auto" w:fill="FFFFFF"/>
          <w:lang w:val="en-US" w:eastAsia="zh-CN" w:bidi="ar"/>
        </w:rPr>
        <w:t xml:space="preserve">. </w:t>
      </w:r>
      <w:r>
        <w:rPr>
          <w:rFonts w:hint="eastAsia" w:ascii="Times New Roman" w:hAnsi="Times New Roman" w:eastAsia="仿宋_GB2312" w:cs="宋体"/>
          <w:color w:val="000000"/>
          <w:sz w:val="32"/>
          <w:szCs w:val="32"/>
          <w:shd w:val="clear" w:color="auto" w:fill="FFFFFF"/>
          <w:lang w:val="en-US" w:eastAsia="zh-CN" w:bidi="ar"/>
        </w:rPr>
        <w:t>长春光机所导师岗位考核评议指标体系</w:t>
      </w:r>
    </w:p>
    <w:p w14:paraId="757E87D4">
      <w:pPr>
        <w:shd w:val="clear" w:color="auto" w:fill="FFFFFF"/>
        <w:adjustRightInd w:val="0"/>
        <w:snapToGrid w:val="0"/>
        <w:spacing w:line="560" w:lineRule="exact"/>
        <w:ind w:firstLine="1540" w:firstLineChars="500"/>
        <w:jc w:val="left"/>
        <w:rPr>
          <w:rFonts w:ascii="Times New Roman" w:hAnsi="Times New Roman" w:eastAsia="仿宋_GB2312" w:cs="宋体"/>
          <w:color w:val="000000"/>
          <w:sz w:val="32"/>
          <w:szCs w:val="32"/>
          <w:lang w:val="en-US" w:eastAsia="zh-CN" w:bidi="ar"/>
        </w:rPr>
      </w:pPr>
      <w:r>
        <w:rPr>
          <w:rFonts w:hint="eastAsia" w:ascii="Times New Roman" w:hAnsi="Times New Roman" w:eastAsia="仿宋_GB2312" w:cs="宋体"/>
          <w:color w:val="000000"/>
          <w:sz w:val="32"/>
          <w:szCs w:val="32"/>
          <w:shd w:val="clear" w:color="auto" w:fill="FFFFFF"/>
          <w:lang w:val="en-US" w:eastAsia="zh-CN" w:bidi="ar"/>
        </w:rPr>
        <w:t>2</w:t>
      </w:r>
      <w:r>
        <w:rPr>
          <w:rFonts w:ascii="Times New Roman" w:hAnsi="Times New Roman" w:eastAsia="仿宋_GB2312" w:cs="宋体"/>
          <w:color w:val="000000"/>
          <w:sz w:val="32"/>
          <w:szCs w:val="32"/>
          <w:shd w:val="clear" w:color="auto" w:fill="FFFFFF"/>
          <w:lang w:val="en-US" w:eastAsia="zh-CN" w:bidi="ar"/>
        </w:rPr>
        <w:t xml:space="preserve">. </w:t>
      </w:r>
      <w:r>
        <w:rPr>
          <w:rFonts w:hint="eastAsia" w:ascii="Times New Roman" w:hAnsi="Times New Roman" w:eastAsia="仿宋_GB2312" w:cs="宋体"/>
          <w:color w:val="000000"/>
          <w:sz w:val="32"/>
          <w:szCs w:val="32"/>
          <w:shd w:val="clear" w:color="auto" w:fill="FFFFFF"/>
          <w:lang w:val="en-US" w:eastAsia="zh-CN" w:bidi="ar"/>
        </w:rPr>
        <w:t>长春光机所导师岗位考核评议指标体系考核结果</w:t>
      </w:r>
    </w:p>
    <w:p w14:paraId="7E5B0E1C">
      <w:pPr>
        <w:shd w:val="clear" w:color="auto" w:fill="FFFFFF"/>
        <w:adjustRightInd w:val="0"/>
        <w:snapToGrid w:val="0"/>
        <w:spacing w:line="560" w:lineRule="exact"/>
        <w:ind w:firstLine="1909" w:firstLineChars="620"/>
        <w:jc w:val="left"/>
        <w:rPr>
          <w:rFonts w:hint="eastAsia" w:ascii="Times New Roman" w:hAnsi="Times New Roman" w:eastAsia="仿宋_GB2312" w:cs="宋体"/>
          <w:color w:val="000000"/>
          <w:sz w:val="32"/>
          <w:szCs w:val="32"/>
          <w:lang w:val="en-US" w:eastAsia="zh-CN" w:bidi="ar"/>
        </w:rPr>
      </w:pPr>
      <w:r>
        <w:rPr>
          <w:rFonts w:hint="eastAsia" w:ascii="Times New Roman" w:hAnsi="Times New Roman" w:eastAsia="仿宋_GB2312" w:cs="宋体"/>
          <w:color w:val="000000"/>
          <w:sz w:val="32"/>
          <w:szCs w:val="32"/>
          <w:shd w:val="clear" w:color="auto" w:fill="FFFFFF"/>
          <w:lang w:val="en-US" w:eastAsia="zh-CN" w:bidi="ar"/>
        </w:rPr>
        <w:t>计算方法</w:t>
      </w:r>
    </w:p>
    <w:p w14:paraId="38CAF019">
      <w:pPr>
        <w:shd w:val="clear" w:color="auto" w:fill="FFFFFF"/>
        <w:adjustRightInd w:val="0"/>
        <w:snapToGrid w:val="0"/>
        <w:spacing w:line="560" w:lineRule="exact"/>
        <w:ind w:firstLine="616" w:firstLineChars="200"/>
        <w:jc w:val="left"/>
        <w:rPr>
          <w:rFonts w:hint="eastAsia" w:ascii="Times New Roman" w:hAnsi="Times New Roman" w:eastAsia="仿宋_GB2312" w:cs="宋体"/>
          <w:color w:val="000000"/>
          <w:sz w:val="32"/>
          <w:szCs w:val="32"/>
          <w:lang w:val="en-US" w:eastAsia="zh-CN"/>
        </w:rPr>
      </w:pPr>
    </w:p>
    <w:p w14:paraId="15D69B2F">
      <w:pPr>
        <w:spacing w:line="600" w:lineRule="exact"/>
        <w:jc w:val="both"/>
        <w:rPr>
          <w:rFonts w:ascii="仿宋_GB2312" w:eastAsia="仿宋_GB2312"/>
          <w:sz w:val="32"/>
          <w:szCs w:val="32"/>
          <w:lang w:val="en-US" w:eastAsia="zh-CN"/>
        </w:rPr>
      </w:pPr>
    </w:p>
    <w:p w14:paraId="253B6060">
      <w:pPr>
        <w:spacing w:line="600" w:lineRule="exact"/>
        <w:jc w:val="both"/>
        <w:rPr>
          <w:rFonts w:hint="eastAsia" w:ascii="仿宋_GB2312" w:eastAsia="仿宋_GB2312"/>
          <w:sz w:val="32"/>
          <w:szCs w:val="32"/>
          <w:lang w:val="en-US" w:eastAsia="zh-CN"/>
        </w:rPr>
      </w:pPr>
    </w:p>
    <w:p w14:paraId="253012BB">
      <w:pPr>
        <w:spacing w:line="600" w:lineRule="exact"/>
        <w:jc w:val="both"/>
        <w:rPr>
          <w:rFonts w:ascii="仿宋_GB2312" w:eastAsia="仿宋_GB2312"/>
          <w:sz w:val="32"/>
          <w:szCs w:val="32"/>
          <w:lang w:val="en-US" w:eastAsia="zh-CN"/>
        </w:rPr>
        <w:sectPr>
          <w:headerReference r:id="rId3" w:type="default"/>
          <w:footerReference r:id="rId5" w:type="default"/>
          <w:headerReference r:id="rId4" w:type="even"/>
          <w:footerReference r:id="rId6" w:type="even"/>
          <w:pgSz w:w="11906" w:h="16838"/>
          <w:pgMar w:top="2041" w:right="1588" w:bottom="2041" w:left="1588" w:header="851" w:footer="1463" w:gutter="0"/>
          <w:cols w:space="720" w:num="1"/>
          <w:docGrid w:type="linesAndChars" w:linePitch="574" w:charSpace="1722"/>
        </w:sectPr>
      </w:pPr>
    </w:p>
    <w:p w14:paraId="1CFBAC60">
      <w:pPr>
        <w:spacing w:line="600" w:lineRule="exact"/>
        <w:jc w:val="both"/>
        <w:rPr>
          <w:rFonts w:ascii="黑体" w:hAnsi="黑体" w:eastAsia="黑体"/>
          <w:sz w:val="32"/>
          <w:szCs w:val="32"/>
          <w:lang w:val="en-US" w:eastAsia="zh-CN"/>
        </w:rPr>
      </w:pPr>
      <w:r>
        <w:rPr>
          <w:rFonts w:hint="eastAsia" w:ascii="黑体" w:hAnsi="黑体" w:eastAsia="黑体"/>
          <w:sz w:val="32"/>
          <w:szCs w:val="32"/>
          <w:lang w:val="en-US" w:eastAsia="zh-CN"/>
        </w:rPr>
        <w:t>附件1</w:t>
      </w:r>
    </w:p>
    <w:p w14:paraId="2E4501C5">
      <w:pPr>
        <w:spacing w:line="600" w:lineRule="exact"/>
        <w:jc w:val="both"/>
        <w:rPr>
          <w:rFonts w:ascii="仿宋_GB2312" w:eastAsia="仿宋_GB2312"/>
          <w:sz w:val="32"/>
          <w:szCs w:val="32"/>
          <w:lang w:val="en-US" w:eastAsia="zh-CN"/>
        </w:rPr>
      </w:pPr>
    </w:p>
    <w:p w14:paraId="570204FD">
      <w:pPr>
        <w:spacing w:line="600" w:lineRule="exact"/>
        <w:jc w:val="center"/>
        <w:rPr>
          <w:rFonts w:hint="eastAsia" w:ascii="方正小标宋_GBK" w:eastAsia="方正小标宋_GBK"/>
          <w:sz w:val="44"/>
          <w:szCs w:val="44"/>
          <w:lang w:val="en-US" w:eastAsia="zh-CN"/>
        </w:rPr>
      </w:pPr>
      <w:bookmarkStart w:id="1" w:name="_GoBack"/>
      <w:bookmarkEnd w:id="1"/>
      <w:r>
        <w:rPr>
          <w:rFonts w:hint="eastAsia" w:ascii="方正小标宋_GBK" w:eastAsia="方正小标宋_GBK"/>
          <w:sz w:val="44"/>
          <w:szCs w:val="44"/>
          <w:lang w:val="en-US" w:eastAsia="zh-CN"/>
        </w:rPr>
        <w:t>长春光机所导师岗位考核评议指标体系</w:t>
      </w:r>
    </w:p>
    <w:p w14:paraId="1882B1B2">
      <w:pPr>
        <w:spacing w:line="600" w:lineRule="exact"/>
        <w:jc w:val="both"/>
        <w:rPr>
          <w:rFonts w:ascii="仿宋_GB2312" w:eastAsia="仿宋_GB2312"/>
          <w:sz w:val="32"/>
          <w:szCs w:val="32"/>
          <w:lang w:val="en-US" w:eastAsia="zh-CN"/>
        </w:rPr>
      </w:pPr>
    </w:p>
    <w:tbl>
      <w:tblPr>
        <w:tblStyle w:val="4"/>
        <w:tblW w:w="5104"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2039"/>
        <w:gridCol w:w="4335"/>
        <w:gridCol w:w="6213"/>
      </w:tblGrid>
      <w:tr w14:paraId="6FFF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0" w:type="pct"/>
            <w:tcBorders>
              <w:bottom w:val="single" w:color="auto" w:sz="0" w:space="0"/>
            </w:tcBorders>
            <w:shd w:val="clear" w:color="auto" w:fill="auto"/>
            <w:noWrap/>
            <w:vAlign w:val="center"/>
          </w:tcPr>
          <w:p w14:paraId="798EB7DD">
            <w:pPr>
              <w:widowControl/>
              <w:jc w:val="center"/>
              <w:rPr>
                <w:rFonts w:ascii="宋体" w:hAnsi="宋体" w:eastAsia="宋体" w:cs="宋体"/>
                <w:b/>
                <w:bCs/>
                <w:color w:val="000000"/>
                <w:spacing w:val="-10"/>
                <w:kern w:val="0"/>
                <w:sz w:val="22"/>
                <w:szCs w:val="22"/>
                <w:lang w:val="en-US" w:eastAsia="zh-CN" w:bidi="ar-SA"/>
              </w:rPr>
            </w:pPr>
            <w:r>
              <w:rPr>
                <w:rFonts w:hint="eastAsia" w:ascii="宋体" w:hAnsi="宋体" w:eastAsia="宋体" w:cs="宋体"/>
                <w:b/>
                <w:bCs/>
                <w:color w:val="000000"/>
                <w:spacing w:val="-10"/>
                <w:kern w:val="0"/>
                <w:sz w:val="22"/>
                <w:szCs w:val="22"/>
                <w:lang w:val="en-US" w:eastAsia="zh-CN" w:bidi="ar-SA"/>
              </w:rPr>
              <w:t>一级指标</w:t>
            </w:r>
          </w:p>
        </w:tc>
        <w:tc>
          <w:tcPr>
            <w:tcW w:w="705" w:type="pct"/>
            <w:shd w:val="clear" w:color="auto" w:fill="auto"/>
            <w:noWrap/>
            <w:vAlign w:val="center"/>
          </w:tcPr>
          <w:p w14:paraId="63C265B7">
            <w:pPr>
              <w:widowControl/>
              <w:jc w:val="center"/>
              <w:rPr>
                <w:rFonts w:ascii="宋体" w:hAnsi="宋体" w:eastAsia="宋体" w:cs="宋体"/>
                <w:b/>
                <w:bCs/>
                <w:color w:val="000000"/>
                <w:spacing w:val="-10"/>
                <w:kern w:val="0"/>
                <w:sz w:val="22"/>
                <w:szCs w:val="22"/>
                <w:lang w:val="en-US" w:eastAsia="zh-CN" w:bidi="ar-SA"/>
              </w:rPr>
            </w:pPr>
            <w:r>
              <w:rPr>
                <w:rFonts w:hint="eastAsia" w:ascii="宋体" w:hAnsi="宋体" w:eastAsia="宋体" w:cs="宋体"/>
                <w:b/>
                <w:bCs/>
                <w:color w:val="000000"/>
                <w:spacing w:val="-10"/>
                <w:kern w:val="0"/>
                <w:sz w:val="22"/>
                <w:szCs w:val="22"/>
                <w:lang w:val="en-US" w:eastAsia="zh-CN" w:bidi="ar-SA"/>
              </w:rPr>
              <w:t>二级指标</w:t>
            </w:r>
          </w:p>
        </w:tc>
        <w:tc>
          <w:tcPr>
            <w:tcW w:w="1498" w:type="pct"/>
            <w:shd w:val="clear" w:color="auto" w:fill="auto"/>
            <w:noWrap/>
            <w:vAlign w:val="center"/>
          </w:tcPr>
          <w:p w14:paraId="08DB165B">
            <w:pPr>
              <w:widowControl/>
              <w:jc w:val="center"/>
              <w:rPr>
                <w:rFonts w:ascii="宋体" w:hAnsi="宋体" w:eastAsia="宋体" w:cs="宋体"/>
                <w:b/>
                <w:bCs/>
                <w:color w:val="000000"/>
                <w:spacing w:val="-10"/>
                <w:kern w:val="0"/>
                <w:sz w:val="22"/>
                <w:szCs w:val="22"/>
                <w:lang w:val="en-US" w:eastAsia="zh-CN" w:bidi="ar-SA"/>
              </w:rPr>
            </w:pPr>
            <w:r>
              <w:rPr>
                <w:rFonts w:hint="eastAsia" w:ascii="宋体" w:hAnsi="宋体" w:eastAsia="宋体" w:cs="宋体"/>
                <w:b/>
                <w:bCs/>
                <w:color w:val="000000"/>
                <w:spacing w:val="-10"/>
                <w:kern w:val="0"/>
                <w:sz w:val="22"/>
                <w:szCs w:val="22"/>
                <w:lang w:val="en-US" w:eastAsia="zh-CN" w:bidi="ar-SA"/>
              </w:rPr>
              <w:t>三级指标</w:t>
            </w:r>
          </w:p>
        </w:tc>
        <w:tc>
          <w:tcPr>
            <w:tcW w:w="2147" w:type="pct"/>
            <w:shd w:val="clear" w:color="auto" w:fill="auto"/>
            <w:noWrap/>
            <w:vAlign w:val="center"/>
          </w:tcPr>
          <w:p w14:paraId="0A4DAF8E">
            <w:pPr>
              <w:widowControl/>
              <w:jc w:val="center"/>
              <w:rPr>
                <w:rFonts w:ascii="宋体" w:hAnsi="宋体" w:eastAsia="宋体" w:cs="宋体"/>
                <w:b/>
                <w:bCs/>
                <w:color w:val="000000"/>
                <w:spacing w:val="-10"/>
                <w:kern w:val="0"/>
                <w:sz w:val="22"/>
                <w:szCs w:val="22"/>
                <w:lang w:val="en-US" w:eastAsia="zh-CN" w:bidi="ar-SA"/>
              </w:rPr>
            </w:pPr>
            <w:r>
              <w:rPr>
                <w:rFonts w:hint="eastAsia" w:ascii="宋体" w:hAnsi="宋体" w:eastAsia="宋体" w:cs="宋体"/>
                <w:b/>
                <w:bCs/>
                <w:color w:val="000000"/>
                <w:spacing w:val="-10"/>
                <w:kern w:val="0"/>
                <w:sz w:val="22"/>
                <w:szCs w:val="22"/>
                <w:lang w:val="en-US" w:eastAsia="zh-CN" w:bidi="ar-SA"/>
              </w:rPr>
              <w:t>分值及得分说明</w:t>
            </w:r>
          </w:p>
        </w:tc>
      </w:tr>
      <w:tr w14:paraId="1278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0" w:type="pct"/>
            <w:vMerge w:val="restart"/>
            <w:tcBorders>
              <w:top w:val="single" w:color="auto" w:sz="0" w:space="0"/>
              <w:left w:val="single" w:color="auto" w:sz="0" w:space="0"/>
              <w:bottom w:val="single" w:color="auto" w:sz="0" w:space="0"/>
              <w:right w:val="single" w:color="auto" w:sz="0" w:space="0"/>
            </w:tcBorders>
            <w:shd w:val="clear" w:color="auto" w:fill="auto"/>
            <w:noWrap/>
            <w:vAlign w:val="center"/>
          </w:tcPr>
          <w:p w14:paraId="4881F2A5">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A</w:t>
            </w:r>
            <w:r>
              <w:rPr>
                <w:rFonts w:hint="eastAsia" w:ascii="宋体" w:hAnsi="宋体" w:eastAsia="宋体" w:cs="宋体"/>
                <w:color w:val="000000"/>
                <w:spacing w:val="-10"/>
                <w:kern w:val="0"/>
                <w:sz w:val="22"/>
                <w:szCs w:val="22"/>
                <w:lang w:val="en-US" w:eastAsia="zh-CN" w:bidi="ar-SA"/>
              </w:rPr>
              <w:t>.岗位基本职责</w:t>
            </w:r>
          </w:p>
        </w:tc>
        <w:tc>
          <w:tcPr>
            <w:tcW w:w="705" w:type="pct"/>
            <w:vMerge w:val="restart"/>
            <w:tcBorders>
              <w:left w:val="single" w:color="auto" w:sz="0" w:space="0"/>
            </w:tcBorders>
            <w:shd w:val="clear" w:color="auto" w:fill="auto"/>
            <w:noWrap/>
            <w:vAlign w:val="center"/>
          </w:tcPr>
          <w:p w14:paraId="3B750B79">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A1.指导精力</w:t>
            </w:r>
          </w:p>
        </w:tc>
        <w:tc>
          <w:tcPr>
            <w:tcW w:w="1498" w:type="pct"/>
            <w:shd w:val="clear" w:color="auto" w:fill="auto"/>
            <w:noWrap w:val="0"/>
            <w:vAlign w:val="center"/>
          </w:tcPr>
          <w:p w14:paraId="16EB246A">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S1.新生报到两个月内，进行1次有成效的谈心谈话（以研究生反馈效果为评价依据）</w:t>
            </w:r>
          </w:p>
        </w:tc>
        <w:tc>
          <w:tcPr>
            <w:tcW w:w="2147" w:type="pct"/>
            <w:shd w:val="clear" w:color="auto" w:fill="auto"/>
            <w:noWrap/>
            <w:vAlign w:val="center"/>
          </w:tcPr>
          <w:p w14:paraId="2C162F92">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5分（完成）；0分（未完成）</w:t>
            </w:r>
          </w:p>
        </w:tc>
      </w:tr>
      <w:tr w14:paraId="0D41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7CC2814">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14E86C43">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0"/>
            <w:vAlign w:val="center"/>
          </w:tcPr>
          <w:p w14:paraId="33B1C273">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S2.每月进行1次与研究生有成效的学术讨论（以研究生反馈效果为评价依据）</w:t>
            </w:r>
          </w:p>
        </w:tc>
        <w:tc>
          <w:tcPr>
            <w:tcW w:w="2147" w:type="pct"/>
            <w:shd w:val="clear" w:color="auto" w:fill="auto"/>
            <w:noWrap/>
            <w:vAlign w:val="center"/>
          </w:tcPr>
          <w:p w14:paraId="0D432559">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3</w:t>
            </w:r>
            <w:r>
              <w:rPr>
                <w:rFonts w:hint="eastAsia" w:ascii="宋体" w:hAnsi="宋体" w:eastAsia="宋体" w:cs="宋体"/>
                <w:color w:val="000000"/>
                <w:spacing w:val="-10"/>
                <w:kern w:val="0"/>
                <w:sz w:val="22"/>
                <w:szCs w:val="22"/>
                <w:lang w:val="en-US" w:eastAsia="zh-CN" w:bidi="ar-SA"/>
              </w:rPr>
              <w:t>分/次；-3分/次（未完成）</w:t>
            </w:r>
          </w:p>
        </w:tc>
      </w:tr>
      <w:tr w14:paraId="6C76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22429DA7">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21D96BBD">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0"/>
            <w:vAlign w:val="center"/>
          </w:tcPr>
          <w:p w14:paraId="2AC9F5B7">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S3.每学年听取1次研究生全面汇报，并完成评价（以研究生反馈效果为评价依据）</w:t>
            </w:r>
          </w:p>
        </w:tc>
        <w:tc>
          <w:tcPr>
            <w:tcW w:w="2147" w:type="pct"/>
            <w:shd w:val="clear" w:color="auto" w:fill="auto"/>
            <w:noWrap/>
            <w:vAlign w:val="center"/>
          </w:tcPr>
          <w:p w14:paraId="156DDF78">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5分（完成）；0分（未完成）</w:t>
            </w:r>
          </w:p>
        </w:tc>
      </w:tr>
      <w:tr w14:paraId="609A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658C72D">
            <w:pPr>
              <w:widowControl/>
              <w:jc w:val="center"/>
              <w:rPr>
                <w:rFonts w:ascii="宋体" w:hAnsi="宋体" w:eastAsia="宋体" w:cs="宋体"/>
                <w:color w:val="000000"/>
                <w:spacing w:val="-10"/>
                <w:kern w:val="0"/>
                <w:sz w:val="22"/>
                <w:szCs w:val="22"/>
                <w:lang w:val="en-US" w:eastAsia="zh-CN" w:bidi="ar-SA"/>
              </w:rPr>
            </w:pPr>
          </w:p>
        </w:tc>
        <w:tc>
          <w:tcPr>
            <w:tcW w:w="705" w:type="pct"/>
            <w:vMerge w:val="restart"/>
            <w:tcBorders>
              <w:left w:val="single" w:color="auto" w:sz="0" w:space="0"/>
            </w:tcBorders>
            <w:shd w:val="clear" w:color="auto" w:fill="auto"/>
            <w:noWrap/>
            <w:vAlign w:val="center"/>
          </w:tcPr>
          <w:p w14:paraId="1A71C735">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A2.课程教学</w:t>
            </w:r>
          </w:p>
        </w:tc>
        <w:tc>
          <w:tcPr>
            <w:tcW w:w="1498" w:type="pct"/>
            <w:shd w:val="clear" w:color="auto" w:fill="auto"/>
            <w:noWrap/>
            <w:vAlign w:val="center"/>
          </w:tcPr>
          <w:p w14:paraId="61CCCF6D">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S4.所级课程开课</w:t>
            </w:r>
          </w:p>
        </w:tc>
        <w:tc>
          <w:tcPr>
            <w:tcW w:w="2147" w:type="pct"/>
            <w:shd w:val="clear" w:color="auto" w:fill="auto"/>
            <w:noWrap/>
            <w:vAlign w:val="center"/>
          </w:tcPr>
          <w:p w14:paraId="56C31774">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10分（核心课）；8分（专业课）；5分（公选课）</w:t>
            </w:r>
          </w:p>
        </w:tc>
      </w:tr>
      <w:tr w14:paraId="0052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78248BDD">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11C7F15B">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66F59FC2">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S5.校级课程开课</w:t>
            </w:r>
          </w:p>
        </w:tc>
        <w:tc>
          <w:tcPr>
            <w:tcW w:w="2147" w:type="pct"/>
            <w:shd w:val="clear" w:color="auto" w:fill="auto"/>
            <w:noWrap/>
            <w:vAlign w:val="center"/>
          </w:tcPr>
          <w:p w14:paraId="672EAD40">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15分（1门课程）</w:t>
            </w:r>
          </w:p>
        </w:tc>
      </w:tr>
      <w:tr w14:paraId="416C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61E7F5DA">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0FB82711">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3AE82A6A">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S6.校级教师奖</w:t>
            </w:r>
          </w:p>
        </w:tc>
        <w:tc>
          <w:tcPr>
            <w:tcW w:w="2147" w:type="pct"/>
            <w:shd w:val="clear" w:color="auto" w:fill="auto"/>
            <w:noWrap/>
            <w:vAlign w:val="center"/>
          </w:tcPr>
          <w:p w14:paraId="773EFC67">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15分（朱李月华优秀教师奖、李佩优秀教师奖等）</w:t>
            </w:r>
          </w:p>
        </w:tc>
      </w:tr>
      <w:tr w14:paraId="04E6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2A07E1AE">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3F20F788">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562EE992">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S7.课程督导（评价）</w:t>
            </w:r>
          </w:p>
        </w:tc>
        <w:tc>
          <w:tcPr>
            <w:tcW w:w="2147" w:type="pct"/>
            <w:shd w:val="clear" w:color="auto" w:fill="auto"/>
            <w:noWrap/>
            <w:vAlign w:val="center"/>
          </w:tcPr>
          <w:p w14:paraId="15F361A7">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课程督导评价：5分（优秀）；3分（良好）；0分（差）</w:t>
            </w:r>
          </w:p>
          <w:p w14:paraId="6F2B2250">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5分（担任课程督导）</w:t>
            </w:r>
          </w:p>
        </w:tc>
      </w:tr>
      <w:tr w14:paraId="3C90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129D1944">
            <w:pPr>
              <w:widowControl/>
              <w:jc w:val="center"/>
              <w:rPr>
                <w:rFonts w:ascii="宋体" w:hAnsi="宋体" w:eastAsia="宋体" w:cs="宋体"/>
                <w:color w:val="000000"/>
                <w:spacing w:val="-10"/>
                <w:kern w:val="0"/>
                <w:sz w:val="22"/>
                <w:szCs w:val="22"/>
                <w:lang w:val="en-US" w:eastAsia="zh-CN" w:bidi="ar-SA"/>
              </w:rPr>
            </w:pPr>
          </w:p>
        </w:tc>
        <w:tc>
          <w:tcPr>
            <w:tcW w:w="705" w:type="pct"/>
            <w:vMerge w:val="restart"/>
            <w:tcBorders>
              <w:left w:val="single" w:color="auto" w:sz="0" w:space="0"/>
            </w:tcBorders>
            <w:shd w:val="clear" w:color="auto" w:fill="auto"/>
            <w:noWrap/>
            <w:vAlign w:val="center"/>
          </w:tcPr>
          <w:p w14:paraId="6BE39552">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A3.出版教材</w:t>
            </w:r>
          </w:p>
        </w:tc>
        <w:tc>
          <w:tcPr>
            <w:tcW w:w="1498" w:type="pct"/>
            <w:shd w:val="clear" w:color="auto" w:fill="auto"/>
            <w:noWrap/>
            <w:vAlign w:val="center"/>
          </w:tcPr>
          <w:p w14:paraId="52D3B466">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S8.国家级研究生教材</w:t>
            </w:r>
          </w:p>
        </w:tc>
        <w:tc>
          <w:tcPr>
            <w:tcW w:w="2147" w:type="pct"/>
            <w:shd w:val="clear" w:color="auto" w:fill="auto"/>
            <w:noWrap/>
            <w:vAlign w:val="center"/>
          </w:tcPr>
          <w:p w14:paraId="3F71A2D3">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30分/册（主编）、</w:t>
            </w:r>
            <w:r>
              <w:rPr>
                <w:rFonts w:ascii="宋体" w:hAnsi="宋体" w:eastAsia="宋体" w:cs="宋体"/>
                <w:color w:val="000000"/>
                <w:spacing w:val="-10"/>
                <w:kern w:val="0"/>
                <w:sz w:val="22"/>
                <w:szCs w:val="22"/>
                <w:lang w:val="en-US" w:eastAsia="zh-CN" w:bidi="ar-SA"/>
              </w:rPr>
              <w:t>10</w:t>
            </w:r>
            <w:r>
              <w:rPr>
                <w:rFonts w:hint="eastAsia" w:ascii="宋体" w:hAnsi="宋体" w:eastAsia="宋体" w:cs="宋体"/>
                <w:color w:val="000000"/>
                <w:spacing w:val="-10"/>
                <w:kern w:val="0"/>
                <w:sz w:val="22"/>
                <w:szCs w:val="22"/>
                <w:lang w:val="en-US" w:eastAsia="zh-CN" w:bidi="ar-SA"/>
              </w:rPr>
              <w:t>分/册（参编）</w:t>
            </w:r>
          </w:p>
        </w:tc>
      </w:tr>
      <w:tr w14:paraId="256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7FCED614">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05D19FCD">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04E4E663">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S9.获省部级优秀教材</w:t>
            </w:r>
          </w:p>
        </w:tc>
        <w:tc>
          <w:tcPr>
            <w:tcW w:w="2147" w:type="pct"/>
            <w:shd w:val="clear" w:color="auto" w:fill="auto"/>
            <w:noWrap/>
            <w:vAlign w:val="center"/>
          </w:tcPr>
          <w:p w14:paraId="4447D74C">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25</w:t>
            </w:r>
            <w:r>
              <w:rPr>
                <w:rFonts w:hint="eastAsia" w:ascii="宋体" w:hAnsi="宋体" w:eastAsia="宋体" w:cs="宋体"/>
                <w:color w:val="000000"/>
                <w:spacing w:val="-10"/>
                <w:kern w:val="0"/>
                <w:sz w:val="22"/>
                <w:szCs w:val="22"/>
                <w:lang w:val="en-US" w:eastAsia="zh-CN" w:bidi="ar-SA"/>
              </w:rPr>
              <w:t>分/册（主编）、</w:t>
            </w:r>
            <w:r>
              <w:rPr>
                <w:rFonts w:ascii="宋体" w:hAnsi="宋体" w:eastAsia="宋体" w:cs="宋体"/>
                <w:color w:val="000000"/>
                <w:spacing w:val="-10"/>
                <w:kern w:val="0"/>
                <w:sz w:val="22"/>
                <w:szCs w:val="22"/>
                <w:lang w:val="en-US" w:eastAsia="zh-CN" w:bidi="ar-SA"/>
              </w:rPr>
              <w:t>8</w:t>
            </w:r>
            <w:r>
              <w:rPr>
                <w:rFonts w:hint="eastAsia" w:ascii="宋体" w:hAnsi="宋体" w:eastAsia="宋体" w:cs="宋体"/>
                <w:color w:val="000000"/>
                <w:spacing w:val="-10"/>
                <w:kern w:val="0"/>
                <w:sz w:val="22"/>
                <w:szCs w:val="22"/>
                <w:lang w:val="en-US" w:eastAsia="zh-CN" w:bidi="ar-SA"/>
              </w:rPr>
              <w:t>分/册（参编）</w:t>
            </w:r>
          </w:p>
        </w:tc>
      </w:tr>
      <w:tr w14:paraId="0706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4C379BAD">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0B0F2F40">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321FF862">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w:t>
            </w:r>
            <w:r>
              <w:rPr>
                <w:rFonts w:ascii="宋体" w:hAnsi="宋体" w:eastAsia="宋体" w:cs="宋体"/>
                <w:color w:val="000000"/>
                <w:spacing w:val="-10"/>
                <w:kern w:val="0"/>
                <w:sz w:val="22"/>
                <w:szCs w:val="22"/>
                <w:lang w:val="en-US" w:eastAsia="zh-CN" w:bidi="ar-SA"/>
              </w:rPr>
              <w:t>1</w:t>
            </w:r>
            <w:r>
              <w:rPr>
                <w:rFonts w:hint="eastAsia" w:ascii="宋体" w:hAnsi="宋体" w:eastAsia="宋体" w:cs="宋体"/>
                <w:color w:val="000000"/>
                <w:spacing w:val="-10"/>
                <w:kern w:val="0"/>
                <w:sz w:val="22"/>
                <w:szCs w:val="22"/>
                <w:lang w:val="en-US" w:eastAsia="zh-CN" w:bidi="ar-SA"/>
              </w:rPr>
              <w:t>0.校级研究生教材</w:t>
            </w:r>
          </w:p>
        </w:tc>
        <w:tc>
          <w:tcPr>
            <w:tcW w:w="2147" w:type="pct"/>
            <w:shd w:val="clear" w:color="auto" w:fill="auto"/>
            <w:noWrap/>
            <w:vAlign w:val="center"/>
          </w:tcPr>
          <w:p w14:paraId="5BF8F28C">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20分/册（主编）、</w:t>
            </w:r>
            <w:r>
              <w:rPr>
                <w:rFonts w:ascii="宋体" w:hAnsi="宋体" w:eastAsia="宋体" w:cs="宋体"/>
                <w:color w:val="000000"/>
                <w:spacing w:val="-10"/>
                <w:kern w:val="0"/>
                <w:sz w:val="22"/>
                <w:szCs w:val="22"/>
                <w:lang w:val="en-US" w:eastAsia="zh-CN" w:bidi="ar-SA"/>
              </w:rPr>
              <w:t>7</w:t>
            </w:r>
            <w:r>
              <w:rPr>
                <w:rFonts w:hint="eastAsia" w:ascii="宋体" w:hAnsi="宋体" w:eastAsia="宋体" w:cs="宋体"/>
                <w:color w:val="000000"/>
                <w:spacing w:val="-10"/>
                <w:kern w:val="0"/>
                <w:sz w:val="22"/>
                <w:szCs w:val="22"/>
                <w:lang w:val="en-US" w:eastAsia="zh-CN" w:bidi="ar-SA"/>
              </w:rPr>
              <w:t>分/册（参编）</w:t>
            </w:r>
          </w:p>
        </w:tc>
      </w:tr>
      <w:tr w14:paraId="6448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3D1FD7EC">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696D5082">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363E6829">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w:t>
            </w:r>
            <w:r>
              <w:rPr>
                <w:rFonts w:ascii="宋体" w:hAnsi="宋体" w:eastAsia="宋体" w:cs="宋体"/>
                <w:color w:val="000000"/>
                <w:spacing w:val="-10"/>
                <w:kern w:val="0"/>
                <w:sz w:val="22"/>
                <w:szCs w:val="22"/>
                <w:lang w:val="en-US" w:eastAsia="zh-CN" w:bidi="ar-SA"/>
              </w:rPr>
              <w:t>1</w:t>
            </w:r>
            <w:r>
              <w:rPr>
                <w:rFonts w:hint="eastAsia" w:ascii="宋体" w:hAnsi="宋体" w:eastAsia="宋体" w:cs="宋体"/>
                <w:color w:val="000000"/>
                <w:spacing w:val="-10"/>
                <w:kern w:val="0"/>
                <w:sz w:val="22"/>
                <w:szCs w:val="22"/>
                <w:lang w:val="en-US" w:eastAsia="zh-CN" w:bidi="ar-SA"/>
              </w:rPr>
              <w:t>1.所级研究生教材</w:t>
            </w:r>
          </w:p>
        </w:tc>
        <w:tc>
          <w:tcPr>
            <w:tcW w:w="2147" w:type="pct"/>
            <w:shd w:val="clear" w:color="auto" w:fill="auto"/>
            <w:noWrap/>
            <w:vAlign w:val="center"/>
          </w:tcPr>
          <w:p w14:paraId="1DF03AE5">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15分/册（主编）、</w:t>
            </w:r>
            <w:r>
              <w:rPr>
                <w:rFonts w:ascii="宋体" w:hAnsi="宋体" w:eastAsia="宋体" w:cs="宋体"/>
                <w:color w:val="000000"/>
                <w:spacing w:val="-10"/>
                <w:kern w:val="0"/>
                <w:sz w:val="22"/>
                <w:szCs w:val="22"/>
                <w:lang w:val="en-US" w:eastAsia="zh-CN" w:bidi="ar-SA"/>
              </w:rPr>
              <w:t>5</w:t>
            </w:r>
            <w:r>
              <w:rPr>
                <w:rFonts w:hint="eastAsia" w:ascii="宋体" w:hAnsi="宋体" w:eastAsia="宋体" w:cs="宋体"/>
                <w:color w:val="000000"/>
                <w:spacing w:val="-10"/>
                <w:kern w:val="0"/>
                <w:sz w:val="22"/>
                <w:szCs w:val="22"/>
                <w:lang w:val="en-US" w:eastAsia="zh-CN" w:bidi="ar-SA"/>
              </w:rPr>
              <w:t>分/册（参编）</w:t>
            </w:r>
          </w:p>
        </w:tc>
      </w:tr>
      <w:tr w14:paraId="41D5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092E0719">
            <w:pPr>
              <w:widowControl/>
              <w:jc w:val="center"/>
              <w:rPr>
                <w:rFonts w:ascii="宋体" w:hAnsi="宋体" w:eastAsia="宋体" w:cs="宋体"/>
                <w:color w:val="000000"/>
                <w:spacing w:val="-10"/>
                <w:kern w:val="0"/>
                <w:sz w:val="22"/>
                <w:szCs w:val="22"/>
                <w:lang w:val="en-US" w:eastAsia="zh-CN" w:bidi="ar-SA"/>
              </w:rPr>
            </w:pPr>
          </w:p>
        </w:tc>
        <w:tc>
          <w:tcPr>
            <w:tcW w:w="705" w:type="pct"/>
            <w:vMerge w:val="restart"/>
            <w:tcBorders>
              <w:left w:val="single" w:color="auto" w:sz="0" w:space="0"/>
            </w:tcBorders>
            <w:shd w:val="clear" w:color="auto" w:fill="auto"/>
            <w:noWrap/>
            <w:vAlign w:val="center"/>
          </w:tcPr>
          <w:p w14:paraId="6E09D6F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A4.教育奉献</w:t>
            </w:r>
          </w:p>
        </w:tc>
        <w:tc>
          <w:tcPr>
            <w:tcW w:w="1498" w:type="pct"/>
            <w:shd w:val="clear" w:color="auto" w:fill="auto"/>
            <w:noWrap/>
            <w:vAlign w:val="center"/>
          </w:tcPr>
          <w:p w14:paraId="6F238562">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S12.招生宣讲</w:t>
            </w:r>
          </w:p>
        </w:tc>
        <w:tc>
          <w:tcPr>
            <w:tcW w:w="2147" w:type="pct"/>
            <w:shd w:val="clear" w:color="auto" w:fill="auto"/>
            <w:noWrap/>
            <w:vAlign w:val="center"/>
          </w:tcPr>
          <w:p w14:paraId="005C19C5">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3分（1个学校）</w:t>
            </w:r>
          </w:p>
        </w:tc>
      </w:tr>
      <w:tr w14:paraId="3FF5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6ADFFE83">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66DDD535">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0E0E41F8">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S13.各类教育管理环节评委</w:t>
            </w:r>
          </w:p>
        </w:tc>
        <w:tc>
          <w:tcPr>
            <w:tcW w:w="2147" w:type="pct"/>
            <w:shd w:val="clear" w:color="auto" w:fill="auto"/>
            <w:noWrap/>
            <w:vAlign w:val="center"/>
          </w:tcPr>
          <w:p w14:paraId="5A5E137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2分（0.5分/次）</w:t>
            </w:r>
          </w:p>
        </w:tc>
      </w:tr>
      <w:tr w14:paraId="0F0E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12076162">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3E0918E0">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068FE242">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S14.学术讲座</w:t>
            </w:r>
          </w:p>
        </w:tc>
        <w:tc>
          <w:tcPr>
            <w:tcW w:w="2147" w:type="pct"/>
            <w:shd w:val="clear" w:color="auto" w:fill="auto"/>
            <w:noWrap/>
            <w:vAlign w:val="center"/>
          </w:tcPr>
          <w:p w14:paraId="52E2248E">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3分（1次）</w:t>
            </w:r>
          </w:p>
        </w:tc>
      </w:tr>
      <w:tr w14:paraId="19EE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1348A596">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5B6AE71B">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00894E3F">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S15.担任兼职辅导员</w:t>
            </w:r>
          </w:p>
        </w:tc>
        <w:tc>
          <w:tcPr>
            <w:tcW w:w="2147" w:type="pct"/>
            <w:shd w:val="clear" w:color="auto" w:fill="auto"/>
            <w:noWrap/>
            <w:vAlign w:val="center"/>
          </w:tcPr>
          <w:p w14:paraId="5A0E7C1F">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10</w:t>
            </w:r>
            <w:r>
              <w:rPr>
                <w:rFonts w:hint="eastAsia" w:ascii="宋体" w:hAnsi="宋体" w:eastAsia="宋体" w:cs="宋体"/>
                <w:color w:val="000000"/>
                <w:spacing w:val="-10"/>
                <w:kern w:val="0"/>
                <w:sz w:val="22"/>
                <w:szCs w:val="22"/>
                <w:lang w:val="en-US" w:eastAsia="zh-CN" w:bidi="ar-SA"/>
              </w:rPr>
              <w:t>分（考核合格）</w:t>
            </w:r>
          </w:p>
        </w:tc>
      </w:tr>
      <w:tr w14:paraId="18E9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tcBorders>
              <w:top w:val="single" w:color="auto" w:sz="0" w:space="0"/>
              <w:left w:val="single" w:color="auto" w:sz="0" w:space="0"/>
              <w:bottom w:val="single" w:color="auto" w:sz="0" w:space="0"/>
              <w:right w:val="single" w:color="auto" w:sz="0" w:space="0"/>
            </w:tcBorders>
            <w:shd w:val="clear" w:color="auto" w:fill="auto"/>
            <w:noWrap w:val="0"/>
            <w:vAlign w:val="center"/>
          </w:tcPr>
          <w:p w14:paraId="5D29D423">
            <w:pPr>
              <w:widowControl/>
              <w:jc w:val="center"/>
              <w:rPr>
                <w:rFonts w:ascii="宋体" w:hAnsi="宋体" w:eastAsia="宋体" w:cs="宋体"/>
                <w:color w:val="000000"/>
                <w:spacing w:val="-10"/>
                <w:kern w:val="0"/>
                <w:sz w:val="22"/>
                <w:szCs w:val="22"/>
                <w:lang w:val="en-US" w:eastAsia="zh-CN" w:bidi="ar-SA"/>
              </w:rPr>
            </w:pPr>
          </w:p>
        </w:tc>
        <w:tc>
          <w:tcPr>
            <w:tcW w:w="705" w:type="pct"/>
            <w:vMerge w:val="continue"/>
            <w:tcBorders>
              <w:left w:val="single" w:color="auto" w:sz="0" w:space="0"/>
            </w:tcBorders>
            <w:shd w:val="clear" w:color="auto" w:fill="auto"/>
            <w:noWrap w:val="0"/>
            <w:vAlign w:val="center"/>
          </w:tcPr>
          <w:p w14:paraId="3BCBF48F">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7E081633">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S16.提出教育管理工作建设性意见被采纳</w:t>
            </w:r>
          </w:p>
        </w:tc>
        <w:tc>
          <w:tcPr>
            <w:tcW w:w="2147" w:type="pct"/>
            <w:shd w:val="clear" w:color="auto" w:fill="auto"/>
            <w:noWrap/>
            <w:vAlign w:val="center"/>
          </w:tcPr>
          <w:p w14:paraId="4FC0C639">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5分（1条）</w:t>
            </w:r>
          </w:p>
        </w:tc>
      </w:tr>
      <w:tr w14:paraId="7403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restart"/>
            <w:tcBorders>
              <w:top w:val="single" w:color="auto" w:sz="0" w:space="0"/>
            </w:tcBorders>
            <w:shd w:val="clear" w:color="auto" w:fill="auto"/>
            <w:noWrap/>
            <w:vAlign w:val="center"/>
          </w:tcPr>
          <w:p w14:paraId="016DDDEE">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B.研究生培养质量</w:t>
            </w:r>
          </w:p>
        </w:tc>
        <w:tc>
          <w:tcPr>
            <w:tcW w:w="705" w:type="pct"/>
            <w:vMerge w:val="restart"/>
            <w:shd w:val="clear" w:color="auto" w:fill="auto"/>
            <w:noWrap/>
            <w:vAlign w:val="center"/>
          </w:tcPr>
          <w:p w14:paraId="5CDD03D4">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B1.过程质量</w:t>
            </w:r>
          </w:p>
        </w:tc>
        <w:tc>
          <w:tcPr>
            <w:tcW w:w="1498" w:type="pct"/>
            <w:shd w:val="clear" w:color="auto" w:fill="auto"/>
            <w:noWrap/>
            <w:vAlign w:val="center"/>
          </w:tcPr>
          <w:p w14:paraId="70743EDC">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S17.开题报告</w:t>
            </w:r>
          </w:p>
        </w:tc>
        <w:tc>
          <w:tcPr>
            <w:tcW w:w="2147" w:type="pct"/>
            <w:shd w:val="clear" w:color="auto" w:fill="auto"/>
            <w:noWrap/>
            <w:vAlign w:val="center"/>
          </w:tcPr>
          <w:p w14:paraId="15E3A90E">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w:t>
            </w:r>
            <w:r>
              <w:rPr>
                <w:rFonts w:ascii="Arial" w:hAnsi="Arial" w:eastAsia="宋体" w:cs="Arial"/>
                <w:color w:val="000000"/>
                <w:spacing w:val="-10"/>
                <w:kern w:val="0"/>
                <w:sz w:val="20"/>
                <w:szCs w:val="20"/>
                <w:lang w:val="en-US" w:eastAsia="zh-CN" w:bidi="ar-SA"/>
              </w:rPr>
              <w:t>分（优秀）；</w:t>
            </w:r>
            <w:r>
              <w:rPr>
                <w:rFonts w:hint="eastAsia" w:ascii="宋体" w:hAnsi="宋体" w:eastAsia="宋体" w:cs="宋体"/>
                <w:color w:val="000000"/>
                <w:spacing w:val="-10"/>
                <w:kern w:val="0"/>
                <w:sz w:val="20"/>
                <w:szCs w:val="20"/>
                <w:lang w:val="en-US" w:eastAsia="zh-CN" w:bidi="ar-SA"/>
              </w:rPr>
              <w:t>3</w:t>
            </w:r>
            <w:r>
              <w:rPr>
                <w:rFonts w:ascii="Arial" w:hAnsi="Arial" w:eastAsia="宋体" w:cs="Arial"/>
                <w:color w:val="000000"/>
                <w:spacing w:val="-10"/>
                <w:kern w:val="0"/>
                <w:sz w:val="20"/>
                <w:szCs w:val="20"/>
                <w:lang w:val="en-US" w:eastAsia="zh-CN" w:bidi="ar-SA"/>
              </w:rPr>
              <w:t>分（良好）；</w:t>
            </w:r>
            <w:r>
              <w:rPr>
                <w:rFonts w:hint="eastAsia" w:ascii="宋体" w:hAnsi="宋体" w:eastAsia="宋体" w:cs="宋体"/>
                <w:color w:val="000000"/>
                <w:spacing w:val="-10"/>
                <w:kern w:val="0"/>
                <w:sz w:val="20"/>
                <w:szCs w:val="20"/>
                <w:lang w:val="en-US" w:eastAsia="zh-CN" w:bidi="ar-SA"/>
              </w:rPr>
              <w:t>1</w:t>
            </w:r>
            <w:r>
              <w:rPr>
                <w:rFonts w:ascii="Arial" w:hAnsi="Arial" w:eastAsia="宋体" w:cs="Arial"/>
                <w:color w:val="000000"/>
                <w:spacing w:val="-10"/>
                <w:kern w:val="0"/>
                <w:sz w:val="20"/>
                <w:szCs w:val="20"/>
                <w:lang w:val="en-US" w:eastAsia="zh-CN" w:bidi="ar-SA"/>
              </w:rPr>
              <w:t>分（合格）；</w:t>
            </w:r>
            <w:r>
              <w:rPr>
                <w:rFonts w:hint="eastAsia" w:ascii="宋体" w:hAnsi="宋体" w:eastAsia="宋体" w:cs="宋体"/>
                <w:color w:val="000000"/>
                <w:spacing w:val="-10"/>
                <w:kern w:val="0"/>
                <w:sz w:val="20"/>
                <w:szCs w:val="20"/>
                <w:lang w:val="en-US" w:eastAsia="zh-CN" w:bidi="ar-SA"/>
              </w:rPr>
              <w:t>-10</w:t>
            </w:r>
            <w:r>
              <w:rPr>
                <w:rFonts w:ascii="Arial" w:hAnsi="Arial" w:eastAsia="宋体" w:cs="Arial"/>
                <w:color w:val="000000"/>
                <w:spacing w:val="-10"/>
                <w:kern w:val="0"/>
                <w:sz w:val="20"/>
                <w:szCs w:val="20"/>
                <w:lang w:val="en-US" w:eastAsia="zh-CN" w:bidi="ar-SA"/>
              </w:rPr>
              <w:t>分（不合格）</w:t>
            </w:r>
          </w:p>
        </w:tc>
      </w:tr>
      <w:tr w14:paraId="7D20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2DD23053">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0D145BC1">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2B983118">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S18.中期检查</w:t>
            </w:r>
          </w:p>
        </w:tc>
        <w:tc>
          <w:tcPr>
            <w:tcW w:w="2147" w:type="pct"/>
            <w:shd w:val="clear" w:color="auto" w:fill="auto"/>
            <w:noWrap/>
            <w:vAlign w:val="center"/>
          </w:tcPr>
          <w:p w14:paraId="4077068D">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w:t>
            </w:r>
            <w:r>
              <w:rPr>
                <w:rFonts w:ascii="Arial" w:hAnsi="Arial" w:eastAsia="宋体" w:cs="Arial"/>
                <w:color w:val="000000"/>
                <w:spacing w:val="-10"/>
                <w:kern w:val="0"/>
                <w:sz w:val="20"/>
                <w:szCs w:val="20"/>
                <w:lang w:val="en-US" w:eastAsia="zh-CN" w:bidi="ar-SA"/>
              </w:rPr>
              <w:t>分（优秀）；</w:t>
            </w:r>
            <w:r>
              <w:rPr>
                <w:rFonts w:hint="eastAsia" w:ascii="宋体" w:hAnsi="宋体" w:eastAsia="宋体" w:cs="宋体"/>
                <w:color w:val="000000"/>
                <w:spacing w:val="-10"/>
                <w:kern w:val="0"/>
                <w:sz w:val="20"/>
                <w:szCs w:val="20"/>
                <w:lang w:val="en-US" w:eastAsia="zh-CN" w:bidi="ar-SA"/>
              </w:rPr>
              <w:t>3</w:t>
            </w:r>
            <w:r>
              <w:rPr>
                <w:rFonts w:ascii="Arial" w:hAnsi="Arial" w:eastAsia="宋体" w:cs="Arial"/>
                <w:color w:val="000000"/>
                <w:spacing w:val="-10"/>
                <w:kern w:val="0"/>
                <w:sz w:val="20"/>
                <w:szCs w:val="20"/>
                <w:lang w:val="en-US" w:eastAsia="zh-CN" w:bidi="ar-SA"/>
              </w:rPr>
              <w:t>分（良好）；</w:t>
            </w:r>
            <w:r>
              <w:rPr>
                <w:rFonts w:hint="eastAsia" w:ascii="宋体" w:hAnsi="宋体" w:eastAsia="宋体" w:cs="宋体"/>
                <w:color w:val="000000"/>
                <w:spacing w:val="-10"/>
                <w:kern w:val="0"/>
                <w:sz w:val="20"/>
                <w:szCs w:val="20"/>
                <w:lang w:val="en-US" w:eastAsia="zh-CN" w:bidi="ar-SA"/>
              </w:rPr>
              <w:t>1</w:t>
            </w:r>
            <w:r>
              <w:rPr>
                <w:rFonts w:ascii="Arial" w:hAnsi="Arial" w:eastAsia="宋体" w:cs="Arial"/>
                <w:color w:val="000000"/>
                <w:spacing w:val="-10"/>
                <w:kern w:val="0"/>
                <w:sz w:val="20"/>
                <w:szCs w:val="20"/>
                <w:lang w:val="en-US" w:eastAsia="zh-CN" w:bidi="ar-SA"/>
              </w:rPr>
              <w:t>分（合格）；</w:t>
            </w:r>
            <w:r>
              <w:rPr>
                <w:rFonts w:hint="eastAsia" w:ascii="宋体" w:hAnsi="宋体" w:eastAsia="宋体" w:cs="宋体"/>
                <w:color w:val="000000"/>
                <w:spacing w:val="-10"/>
                <w:kern w:val="0"/>
                <w:sz w:val="20"/>
                <w:szCs w:val="20"/>
                <w:lang w:val="en-US" w:eastAsia="zh-CN" w:bidi="ar-SA"/>
              </w:rPr>
              <w:t>-10</w:t>
            </w:r>
            <w:r>
              <w:rPr>
                <w:rFonts w:ascii="Arial" w:hAnsi="Arial" w:eastAsia="宋体" w:cs="Arial"/>
                <w:color w:val="000000"/>
                <w:spacing w:val="-10"/>
                <w:kern w:val="0"/>
                <w:sz w:val="20"/>
                <w:szCs w:val="20"/>
                <w:lang w:val="en-US" w:eastAsia="zh-CN" w:bidi="ar-SA"/>
              </w:rPr>
              <w:t>分（不合格）</w:t>
            </w:r>
          </w:p>
        </w:tc>
      </w:tr>
      <w:tr w14:paraId="3861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1C304E18">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1B33E01D">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51C3356A">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S19.论文盲审</w:t>
            </w:r>
          </w:p>
        </w:tc>
        <w:tc>
          <w:tcPr>
            <w:tcW w:w="2147" w:type="pct"/>
            <w:shd w:val="clear" w:color="auto" w:fill="auto"/>
            <w:noWrap w:val="0"/>
            <w:vAlign w:val="center"/>
          </w:tcPr>
          <w:p w14:paraId="5BED32E7">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10</w:t>
            </w:r>
            <w:r>
              <w:rPr>
                <w:rFonts w:hint="eastAsia" w:ascii="宋体" w:hAnsi="宋体" w:eastAsia="宋体" w:cs="宋体"/>
                <w:color w:val="000000"/>
                <w:spacing w:val="-10"/>
                <w:kern w:val="0"/>
                <w:sz w:val="20"/>
                <w:szCs w:val="20"/>
                <w:lang w:val="en-US" w:eastAsia="zh-CN" w:bidi="ar-SA"/>
              </w:rPr>
              <w:t>分（全优）；8分（优秀）；3分（良好）；1分（合格）；-10分（不合格）</w:t>
            </w:r>
          </w:p>
        </w:tc>
      </w:tr>
      <w:tr w14:paraId="06CF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1D8A35F0">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1081CBFE">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431CF8E1">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w:t>
            </w:r>
            <w:r>
              <w:rPr>
                <w:rFonts w:ascii="宋体" w:hAnsi="宋体" w:eastAsia="宋体" w:cs="宋体"/>
                <w:color w:val="000000"/>
                <w:spacing w:val="-10"/>
                <w:kern w:val="0"/>
                <w:sz w:val="22"/>
                <w:szCs w:val="22"/>
                <w:lang w:val="en-US" w:eastAsia="zh-CN" w:bidi="ar-SA"/>
              </w:rPr>
              <w:t>2</w:t>
            </w:r>
            <w:r>
              <w:rPr>
                <w:rFonts w:hint="eastAsia" w:ascii="宋体" w:hAnsi="宋体" w:eastAsia="宋体" w:cs="宋体"/>
                <w:color w:val="000000"/>
                <w:spacing w:val="-10"/>
                <w:kern w:val="0"/>
                <w:sz w:val="22"/>
                <w:szCs w:val="22"/>
                <w:lang w:val="en-US" w:eastAsia="zh-CN" w:bidi="ar-SA"/>
              </w:rPr>
              <w:t>0.毕业答辩</w:t>
            </w:r>
          </w:p>
        </w:tc>
        <w:tc>
          <w:tcPr>
            <w:tcW w:w="2147" w:type="pct"/>
            <w:shd w:val="clear" w:color="auto" w:fill="auto"/>
            <w:noWrap w:val="0"/>
            <w:vAlign w:val="center"/>
          </w:tcPr>
          <w:p w14:paraId="40CB4DB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10</w:t>
            </w:r>
            <w:r>
              <w:rPr>
                <w:rFonts w:hint="eastAsia" w:ascii="宋体" w:hAnsi="宋体" w:eastAsia="宋体" w:cs="宋体"/>
                <w:color w:val="000000"/>
                <w:spacing w:val="-10"/>
                <w:kern w:val="0"/>
                <w:sz w:val="20"/>
                <w:szCs w:val="20"/>
                <w:lang w:val="en-US" w:eastAsia="zh-CN" w:bidi="ar-SA"/>
              </w:rPr>
              <w:t>分（全优）；8分（优秀）；3分（良好）；1分（合格）；-20分（不合格）</w:t>
            </w:r>
          </w:p>
        </w:tc>
      </w:tr>
      <w:tr w14:paraId="6224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0FC0D7F3">
            <w:pPr>
              <w:widowControl/>
              <w:jc w:val="center"/>
              <w:rPr>
                <w:rFonts w:ascii="宋体" w:hAnsi="宋体" w:eastAsia="宋体" w:cs="宋体"/>
                <w:color w:val="000000"/>
                <w:spacing w:val="-10"/>
                <w:kern w:val="0"/>
                <w:sz w:val="22"/>
                <w:szCs w:val="22"/>
                <w:lang w:val="en-US" w:eastAsia="zh-CN" w:bidi="ar-SA"/>
              </w:rPr>
            </w:pPr>
          </w:p>
        </w:tc>
        <w:tc>
          <w:tcPr>
            <w:tcW w:w="705" w:type="pct"/>
            <w:vMerge w:val="restart"/>
            <w:shd w:val="clear" w:color="auto" w:fill="auto"/>
            <w:noWrap/>
            <w:vAlign w:val="center"/>
          </w:tcPr>
          <w:p w14:paraId="3825B306">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B2.在学研究生获奖</w:t>
            </w:r>
          </w:p>
        </w:tc>
        <w:tc>
          <w:tcPr>
            <w:tcW w:w="1498" w:type="pct"/>
            <w:shd w:val="clear" w:color="auto" w:fill="auto"/>
            <w:noWrap/>
            <w:vAlign w:val="center"/>
          </w:tcPr>
          <w:p w14:paraId="24BCBF0E">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S21.中国科学院</w:t>
            </w:r>
            <w:r>
              <w:rPr>
                <w:rFonts w:ascii="宋体" w:hAnsi="宋体" w:eastAsia="宋体" w:cs="宋体"/>
                <w:color w:val="000000"/>
                <w:spacing w:val="-10"/>
                <w:kern w:val="0"/>
                <w:sz w:val="22"/>
                <w:szCs w:val="22"/>
                <w:lang w:val="en-US" w:eastAsia="zh-CN" w:bidi="ar-SA"/>
              </w:rPr>
              <w:t>大学</w:t>
            </w:r>
            <w:r>
              <w:rPr>
                <w:rFonts w:hint="eastAsia" w:ascii="宋体" w:hAnsi="宋体" w:eastAsia="宋体" w:cs="宋体"/>
                <w:color w:val="000000"/>
                <w:spacing w:val="-10"/>
                <w:kern w:val="0"/>
                <w:sz w:val="22"/>
                <w:szCs w:val="22"/>
                <w:lang w:val="en-US" w:eastAsia="zh-CN" w:bidi="ar-SA"/>
              </w:rPr>
              <w:t>三好研究生</w:t>
            </w:r>
          </w:p>
        </w:tc>
        <w:tc>
          <w:tcPr>
            <w:tcW w:w="2147" w:type="pct"/>
            <w:shd w:val="clear" w:color="auto" w:fill="auto"/>
            <w:noWrap/>
            <w:vAlign w:val="center"/>
          </w:tcPr>
          <w:p w14:paraId="4D69E7BB">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1分/人</w:t>
            </w:r>
          </w:p>
        </w:tc>
      </w:tr>
      <w:tr w14:paraId="0779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15D1D228">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174CF7AE">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63A5C7F2">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S22.中国科学院</w:t>
            </w:r>
            <w:r>
              <w:rPr>
                <w:rFonts w:ascii="宋体" w:hAnsi="宋体" w:eastAsia="宋体" w:cs="宋体"/>
                <w:color w:val="000000"/>
                <w:spacing w:val="-10"/>
                <w:kern w:val="0"/>
                <w:sz w:val="22"/>
                <w:szCs w:val="22"/>
                <w:lang w:val="en-US" w:eastAsia="zh-CN" w:bidi="ar-SA"/>
              </w:rPr>
              <w:t>大学</w:t>
            </w:r>
            <w:r>
              <w:rPr>
                <w:rFonts w:hint="eastAsia" w:ascii="宋体" w:hAnsi="宋体" w:eastAsia="宋体" w:cs="宋体"/>
                <w:color w:val="000000"/>
                <w:spacing w:val="-10"/>
                <w:kern w:val="0"/>
                <w:sz w:val="22"/>
                <w:szCs w:val="22"/>
                <w:lang w:val="en-US" w:eastAsia="zh-CN" w:bidi="ar-SA"/>
              </w:rPr>
              <w:t>优秀研究生干部</w:t>
            </w:r>
          </w:p>
        </w:tc>
        <w:tc>
          <w:tcPr>
            <w:tcW w:w="2147" w:type="pct"/>
            <w:shd w:val="clear" w:color="auto" w:fill="auto"/>
            <w:noWrap/>
            <w:vAlign w:val="center"/>
          </w:tcPr>
          <w:p w14:paraId="251EEDF1">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3分/人</w:t>
            </w:r>
          </w:p>
        </w:tc>
      </w:tr>
      <w:tr w14:paraId="14AE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772AA3B8">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5A8A6871">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0E094CDA">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S23.中国科学院</w:t>
            </w:r>
            <w:r>
              <w:rPr>
                <w:rFonts w:ascii="宋体" w:hAnsi="宋体" w:eastAsia="宋体" w:cs="宋体"/>
                <w:color w:val="000000"/>
                <w:spacing w:val="-10"/>
                <w:kern w:val="0"/>
                <w:sz w:val="22"/>
                <w:szCs w:val="22"/>
                <w:lang w:val="en-US" w:eastAsia="zh-CN" w:bidi="ar-SA"/>
              </w:rPr>
              <w:t>大学</w:t>
            </w:r>
            <w:r>
              <w:rPr>
                <w:rFonts w:hint="eastAsia" w:ascii="宋体" w:hAnsi="宋体" w:eastAsia="宋体" w:cs="宋体"/>
                <w:color w:val="000000"/>
                <w:spacing w:val="-10"/>
                <w:kern w:val="0"/>
                <w:sz w:val="22"/>
                <w:szCs w:val="22"/>
                <w:lang w:val="en-US" w:eastAsia="zh-CN" w:bidi="ar-SA"/>
              </w:rPr>
              <w:t>三好研究生标兵</w:t>
            </w:r>
          </w:p>
        </w:tc>
        <w:tc>
          <w:tcPr>
            <w:tcW w:w="2147" w:type="pct"/>
            <w:shd w:val="clear" w:color="auto" w:fill="auto"/>
            <w:noWrap/>
            <w:vAlign w:val="center"/>
          </w:tcPr>
          <w:p w14:paraId="0C1841AD">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5分/人</w:t>
            </w:r>
          </w:p>
        </w:tc>
      </w:tr>
      <w:tr w14:paraId="649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5EA31A15">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6AE4FD31">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152D7CA1">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S24.中国科学院</w:t>
            </w:r>
            <w:r>
              <w:rPr>
                <w:rFonts w:ascii="宋体" w:hAnsi="宋体" w:eastAsia="宋体" w:cs="宋体"/>
                <w:color w:val="000000"/>
                <w:spacing w:val="-10"/>
                <w:kern w:val="0"/>
                <w:sz w:val="22"/>
                <w:szCs w:val="22"/>
                <w:lang w:val="en-US" w:eastAsia="zh-CN" w:bidi="ar-SA"/>
              </w:rPr>
              <w:t>大学</w:t>
            </w:r>
            <w:r>
              <w:rPr>
                <w:rFonts w:hint="eastAsia" w:ascii="宋体" w:hAnsi="宋体" w:eastAsia="宋体" w:cs="宋体"/>
                <w:color w:val="000000"/>
                <w:spacing w:val="-10"/>
                <w:kern w:val="0"/>
                <w:sz w:val="22"/>
                <w:szCs w:val="22"/>
                <w:lang w:val="en-US" w:eastAsia="zh-CN" w:bidi="ar-SA"/>
              </w:rPr>
              <w:t>优秀毕业生</w:t>
            </w:r>
          </w:p>
        </w:tc>
        <w:tc>
          <w:tcPr>
            <w:tcW w:w="2147" w:type="pct"/>
            <w:shd w:val="clear" w:color="auto" w:fill="auto"/>
            <w:noWrap/>
            <w:vAlign w:val="center"/>
          </w:tcPr>
          <w:p w14:paraId="1CB41FB7">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5分/人</w:t>
            </w:r>
          </w:p>
        </w:tc>
      </w:tr>
      <w:tr w14:paraId="7C9A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1B6C54E8">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733C002B">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05FB61BF">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S25.所级冠名奖学金</w:t>
            </w:r>
          </w:p>
        </w:tc>
        <w:tc>
          <w:tcPr>
            <w:tcW w:w="2147" w:type="pct"/>
            <w:shd w:val="clear" w:color="auto" w:fill="auto"/>
            <w:noWrap/>
            <w:vAlign w:val="center"/>
          </w:tcPr>
          <w:p w14:paraId="65E1A4BA">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8分/人（王家骐院士优博奖学金）</w:t>
            </w:r>
          </w:p>
          <w:p w14:paraId="2762A35B">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3分/人（王家骐院士新生奖学金）</w:t>
            </w:r>
          </w:p>
          <w:p w14:paraId="4511C214">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3分/人（其他奖学金）</w:t>
            </w:r>
          </w:p>
        </w:tc>
      </w:tr>
      <w:tr w14:paraId="0210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59816E16">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2DA133ED">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1D8664F4">
            <w:pPr>
              <w:widowControl/>
              <w:jc w:val="left"/>
              <w:rPr>
                <w:rFonts w:ascii="宋体" w:hAnsi="宋体" w:eastAsia="宋体" w:cs="宋体"/>
                <w:color w:val="000000"/>
                <w:spacing w:val="-10"/>
                <w:kern w:val="0"/>
                <w:sz w:val="22"/>
                <w:szCs w:val="24"/>
                <w:lang w:val="en-US" w:eastAsia="zh-CN" w:bidi="ar-SA"/>
              </w:rPr>
            </w:pPr>
            <w:r>
              <w:rPr>
                <w:rFonts w:hint="eastAsia" w:ascii="宋体" w:hAnsi="宋体" w:eastAsia="宋体" w:cs="宋体"/>
                <w:color w:val="000000"/>
                <w:spacing w:val="-10"/>
                <w:kern w:val="0"/>
                <w:sz w:val="22"/>
                <w:szCs w:val="22"/>
                <w:lang w:val="en-US" w:eastAsia="zh-CN" w:bidi="ar-SA"/>
              </w:rPr>
              <w:t>S26.中国光学学会科技创新奖</w:t>
            </w:r>
          </w:p>
        </w:tc>
        <w:tc>
          <w:tcPr>
            <w:tcW w:w="2147" w:type="pct"/>
            <w:shd w:val="clear" w:color="auto" w:fill="auto"/>
            <w:noWrap/>
            <w:vAlign w:val="center"/>
          </w:tcPr>
          <w:p w14:paraId="2879C03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15分/人（王大珩光学奖）</w:t>
            </w:r>
          </w:p>
          <w:p w14:paraId="53BB4C45">
            <w:pPr>
              <w:widowControl/>
              <w:jc w:val="center"/>
              <w:rPr>
                <w:rFonts w:ascii="宋体" w:hAnsi="宋体" w:eastAsia="宋体" w:cs="宋体"/>
                <w:color w:val="000000"/>
                <w:spacing w:val="-10"/>
                <w:kern w:val="0"/>
                <w:sz w:val="22"/>
                <w:szCs w:val="24"/>
                <w:lang w:val="en-US" w:eastAsia="zh-CN" w:bidi="ar-SA"/>
              </w:rPr>
            </w:pPr>
            <w:r>
              <w:rPr>
                <w:rFonts w:hint="eastAsia" w:ascii="宋体" w:hAnsi="宋体" w:eastAsia="宋体" w:cs="宋体"/>
                <w:color w:val="000000"/>
                <w:spacing w:val="-10"/>
                <w:kern w:val="0"/>
                <w:sz w:val="22"/>
                <w:szCs w:val="22"/>
                <w:lang w:val="en-US" w:eastAsia="zh-CN" w:bidi="ar-SA"/>
              </w:rPr>
              <w:t>12分/人（郭光灿光学奖）</w:t>
            </w:r>
          </w:p>
        </w:tc>
      </w:tr>
      <w:tr w14:paraId="2426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3B7C027A">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74F495D7">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15E3D087">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S27.国家奖学金</w:t>
            </w:r>
          </w:p>
        </w:tc>
        <w:tc>
          <w:tcPr>
            <w:tcW w:w="2147" w:type="pct"/>
            <w:shd w:val="clear" w:color="auto" w:fill="auto"/>
            <w:noWrap/>
            <w:vAlign w:val="center"/>
          </w:tcPr>
          <w:p w14:paraId="557BA40A">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5分/人</w:t>
            </w:r>
          </w:p>
        </w:tc>
      </w:tr>
      <w:tr w14:paraId="69A7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2ED31FE0">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5743C4CB">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116B2CBB">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S28.校级奖学金</w:t>
            </w:r>
          </w:p>
        </w:tc>
        <w:tc>
          <w:tcPr>
            <w:tcW w:w="2147" w:type="pct"/>
            <w:shd w:val="clear" w:color="auto" w:fill="auto"/>
            <w:noWrap/>
            <w:vAlign w:val="center"/>
          </w:tcPr>
          <w:p w14:paraId="0943338D">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20分/人（中国科学院院长特别奖）</w:t>
            </w:r>
          </w:p>
          <w:p w14:paraId="5B2BEDBA">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10分/人（中国科学院院长优秀奖）</w:t>
            </w:r>
          </w:p>
        </w:tc>
      </w:tr>
      <w:tr w14:paraId="2924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28A1D410">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2A4DBD64">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3AE3D1FF">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S29.校级冠名奖学金</w:t>
            </w:r>
          </w:p>
        </w:tc>
        <w:tc>
          <w:tcPr>
            <w:tcW w:w="2147" w:type="pct"/>
            <w:shd w:val="clear" w:color="auto" w:fill="auto"/>
            <w:noWrap/>
            <w:vAlign w:val="center"/>
          </w:tcPr>
          <w:p w14:paraId="5E96D2E5">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8分/人（宝钢奖学金）</w:t>
            </w:r>
          </w:p>
          <w:p w14:paraId="64F5CD0E">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8分/人（朱李月华奖学金）</w:t>
            </w:r>
          </w:p>
          <w:p w14:paraId="355834DC">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8分/人（大恒光学特别奖）</w:t>
            </w:r>
          </w:p>
          <w:p w14:paraId="1E0B8769">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5分/人（大恒光学奖）</w:t>
            </w:r>
          </w:p>
        </w:tc>
      </w:tr>
      <w:tr w14:paraId="775A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52D48AB8">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6E01504E">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5156146C">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S30.获得省部级科学技术奖</w:t>
            </w:r>
          </w:p>
        </w:tc>
        <w:tc>
          <w:tcPr>
            <w:tcW w:w="2147" w:type="pct"/>
            <w:shd w:val="clear" w:color="auto" w:fill="auto"/>
            <w:noWrap/>
            <w:vAlign w:val="center"/>
          </w:tcPr>
          <w:p w14:paraId="52A4BE27">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一等：15分/人；二等：</w:t>
            </w:r>
            <w:r>
              <w:rPr>
                <w:rFonts w:ascii="宋体" w:hAnsi="宋体" w:eastAsia="宋体" w:cs="宋体"/>
                <w:color w:val="000000"/>
                <w:spacing w:val="-10"/>
                <w:kern w:val="0"/>
                <w:sz w:val="22"/>
                <w:szCs w:val="22"/>
                <w:lang w:val="en-US" w:eastAsia="zh-CN" w:bidi="ar-SA"/>
              </w:rPr>
              <w:t>10</w:t>
            </w:r>
            <w:r>
              <w:rPr>
                <w:rFonts w:hint="eastAsia" w:ascii="宋体" w:hAnsi="宋体" w:eastAsia="宋体" w:cs="宋体"/>
                <w:color w:val="000000"/>
                <w:spacing w:val="-10"/>
                <w:kern w:val="0"/>
                <w:sz w:val="22"/>
                <w:szCs w:val="22"/>
                <w:lang w:val="en-US" w:eastAsia="zh-CN" w:bidi="ar-SA"/>
              </w:rPr>
              <w:t>分/人</w:t>
            </w:r>
          </w:p>
        </w:tc>
      </w:tr>
      <w:tr w14:paraId="16E6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0B3E05E7">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0C172728">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61CADFC2">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S31.获得国家科学技术奖</w:t>
            </w:r>
          </w:p>
        </w:tc>
        <w:tc>
          <w:tcPr>
            <w:tcW w:w="2147" w:type="pct"/>
            <w:shd w:val="clear" w:color="auto" w:fill="auto"/>
            <w:noWrap/>
            <w:vAlign w:val="center"/>
          </w:tcPr>
          <w:p w14:paraId="3AFE9F04">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一等：</w:t>
            </w:r>
            <w:r>
              <w:rPr>
                <w:rFonts w:ascii="宋体" w:hAnsi="宋体" w:eastAsia="宋体" w:cs="宋体"/>
                <w:color w:val="000000"/>
                <w:spacing w:val="-10"/>
                <w:kern w:val="0"/>
                <w:sz w:val="22"/>
                <w:szCs w:val="22"/>
                <w:lang w:val="en-US" w:eastAsia="zh-CN" w:bidi="ar-SA"/>
              </w:rPr>
              <w:t>30</w:t>
            </w:r>
            <w:r>
              <w:rPr>
                <w:rFonts w:hint="eastAsia" w:ascii="宋体" w:hAnsi="宋体" w:eastAsia="宋体" w:cs="宋体"/>
                <w:color w:val="000000"/>
                <w:spacing w:val="-10"/>
                <w:kern w:val="0"/>
                <w:sz w:val="22"/>
                <w:szCs w:val="22"/>
                <w:lang w:val="en-US" w:eastAsia="zh-CN" w:bidi="ar-SA"/>
              </w:rPr>
              <w:t>分/人；二等：</w:t>
            </w:r>
            <w:r>
              <w:rPr>
                <w:rFonts w:ascii="宋体" w:hAnsi="宋体" w:eastAsia="宋体" w:cs="宋体"/>
                <w:color w:val="000000"/>
                <w:spacing w:val="-10"/>
                <w:kern w:val="0"/>
                <w:sz w:val="22"/>
                <w:szCs w:val="22"/>
                <w:lang w:val="en-US" w:eastAsia="zh-CN" w:bidi="ar-SA"/>
              </w:rPr>
              <w:t>20</w:t>
            </w:r>
            <w:r>
              <w:rPr>
                <w:rFonts w:hint="eastAsia" w:ascii="宋体" w:hAnsi="宋体" w:eastAsia="宋体" w:cs="宋体"/>
                <w:color w:val="000000"/>
                <w:spacing w:val="-10"/>
                <w:kern w:val="0"/>
                <w:sz w:val="22"/>
                <w:szCs w:val="22"/>
                <w:lang w:val="en-US" w:eastAsia="zh-CN" w:bidi="ar-SA"/>
              </w:rPr>
              <w:t>分/人；三等：</w:t>
            </w:r>
            <w:r>
              <w:rPr>
                <w:rFonts w:ascii="宋体" w:hAnsi="宋体" w:eastAsia="宋体" w:cs="宋体"/>
                <w:color w:val="000000"/>
                <w:spacing w:val="-10"/>
                <w:kern w:val="0"/>
                <w:sz w:val="22"/>
                <w:szCs w:val="22"/>
                <w:lang w:val="en-US" w:eastAsia="zh-CN" w:bidi="ar-SA"/>
              </w:rPr>
              <w:t>10</w:t>
            </w:r>
            <w:r>
              <w:rPr>
                <w:rFonts w:hint="eastAsia" w:ascii="宋体" w:hAnsi="宋体" w:eastAsia="宋体" w:cs="宋体"/>
                <w:color w:val="000000"/>
                <w:spacing w:val="-10"/>
                <w:kern w:val="0"/>
                <w:sz w:val="22"/>
                <w:szCs w:val="22"/>
                <w:lang w:val="en-US" w:eastAsia="zh-CN" w:bidi="ar-SA"/>
              </w:rPr>
              <w:t>分/人</w:t>
            </w:r>
          </w:p>
        </w:tc>
      </w:tr>
      <w:tr w14:paraId="780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2FF70AFD">
            <w:pPr>
              <w:widowControl/>
              <w:jc w:val="center"/>
              <w:rPr>
                <w:rFonts w:ascii="宋体" w:hAnsi="宋体" w:eastAsia="宋体" w:cs="宋体"/>
                <w:color w:val="000000"/>
                <w:spacing w:val="-10"/>
                <w:kern w:val="0"/>
                <w:sz w:val="22"/>
                <w:szCs w:val="22"/>
                <w:lang w:val="en-US" w:eastAsia="zh-CN" w:bidi="ar-SA"/>
              </w:rPr>
            </w:pPr>
          </w:p>
        </w:tc>
        <w:tc>
          <w:tcPr>
            <w:tcW w:w="705" w:type="pct"/>
            <w:vMerge w:val="restart"/>
            <w:shd w:val="clear" w:color="auto" w:fill="auto"/>
            <w:noWrap/>
            <w:vAlign w:val="center"/>
          </w:tcPr>
          <w:p w14:paraId="030BB1EB">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B3.学位论文质量</w:t>
            </w:r>
          </w:p>
        </w:tc>
        <w:tc>
          <w:tcPr>
            <w:tcW w:w="1498" w:type="pct"/>
            <w:shd w:val="clear" w:color="auto" w:fill="auto"/>
            <w:noWrap/>
            <w:vAlign w:val="center"/>
          </w:tcPr>
          <w:p w14:paraId="55547A94">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S32.中国</w:t>
            </w:r>
            <w:r>
              <w:rPr>
                <w:rFonts w:ascii="宋体" w:hAnsi="宋体" w:eastAsia="宋体" w:cs="宋体"/>
                <w:color w:val="000000"/>
                <w:spacing w:val="-10"/>
                <w:kern w:val="0"/>
                <w:sz w:val="22"/>
                <w:szCs w:val="22"/>
                <w:lang w:val="en-US" w:eastAsia="zh-CN" w:bidi="ar-SA"/>
              </w:rPr>
              <w:t>科学院优秀博士学位</w:t>
            </w:r>
            <w:r>
              <w:rPr>
                <w:rFonts w:hint="eastAsia" w:ascii="宋体" w:hAnsi="宋体" w:eastAsia="宋体" w:cs="宋体"/>
                <w:color w:val="000000"/>
                <w:spacing w:val="-10"/>
                <w:kern w:val="0"/>
                <w:sz w:val="22"/>
                <w:szCs w:val="22"/>
                <w:lang w:val="en-US" w:eastAsia="zh-CN" w:bidi="ar-SA"/>
              </w:rPr>
              <w:t>论文</w:t>
            </w:r>
          </w:p>
        </w:tc>
        <w:tc>
          <w:tcPr>
            <w:tcW w:w="2147" w:type="pct"/>
            <w:shd w:val="clear" w:color="auto" w:fill="auto"/>
            <w:noWrap/>
            <w:vAlign w:val="center"/>
          </w:tcPr>
          <w:p w14:paraId="6BF9C17E">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30分/人</w:t>
            </w:r>
          </w:p>
        </w:tc>
      </w:tr>
      <w:tr w14:paraId="1B7D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34E62877">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72C3B1AB">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25D68948">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S33.学会优秀博士学位论文</w:t>
            </w:r>
          </w:p>
        </w:tc>
        <w:tc>
          <w:tcPr>
            <w:tcW w:w="2147" w:type="pct"/>
            <w:shd w:val="clear" w:color="auto" w:fill="auto"/>
            <w:noWrap/>
            <w:vAlign w:val="center"/>
          </w:tcPr>
          <w:p w14:paraId="6BB1BB8A">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30分/人</w:t>
            </w:r>
          </w:p>
        </w:tc>
      </w:tr>
      <w:tr w14:paraId="1A4E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286F37F5">
            <w:pPr>
              <w:widowControl/>
              <w:jc w:val="center"/>
              <w:rPr>
                <w:rFonts w:ascii="宋体" w:hAnsi="宋体" w:eastAsia="宋体" w:cs="宋体"/>
                <w:color w:val="000000"/>
                <w:spacing w:val="-10"/>
                <w:kern w:val="0"/>
                <w:sz w:val="22"/>
                <w:szCs w:val="22"/>
                <w:lang w:val="en-US" w:eastAsia="zh-CN" w:bidi="ar-SA"/>
              </w:rPr>
            </w:pPr>
          </w:p>
        </w:tc>
        <w:tc>
          <w:tcPr>
            <w:tcW w:w="705" w:type="pct"/>
            <w:vMerge w:val="restart"/>
            <w:shd w:val="clear" w:color="auto" w:fill="auto"/>
            <w:noWrap/>
            <w:vAlign w:val="center"/>
          </w:tcPr>
          <w:p w14:paraId="2C640C95">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B4.毕业质量</w:t>
            </w:r>
          </w:p>
        </w:tc>
        <w:tc>
          <w:tcPr>
            <w:tcW w:w="1498" w:type="pct"/>
            <w:shd w:val="clear" w:color="auto" w:fill="auto"/>
            <w:noWrap/>
            <w:vAlign w:val="center"/>
          </w:tcPr>
          <w:p w14:paraId="4B921C18">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S34.就业情况</w:t>
            </w:r>
          </w:p>
        </w:tc>
        <w:tc>
          <w:tcPr>
            <w:tcW w:w="2147" w:type="pct"/>
            <w:shd w:val="clear" w:color="auto" w:fill="auto"/>
            <w:noWrap/>
            <w:vAlign w:val="center"/>
          </w:tcPr>
          <w:p w14:paraId="5D89BDC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w:t>
            </w:r>
            <w:r>
              <w:rPr>
                <w:rFonts w:ascii="宋体" w:hAnsi="宋体" w:eastAsia="宋体" w:cs="宋体"/>
                <w:color w:val="000000"/>
                <w:spacing w:val="-10"/>
                <w:kern w:val="0"/>
                <w:sz w:val="22"/>
                <w:szCs w:val="22"/>
                <w:lang w:val="en-US" w:eastAsia="zh-CN" w:bidi="ar-SA"/>
              </w:rPr>
              <w:t>5</w:t>
            </w:r>
            <w:r>
              <w:rPr>
                <w:rFonts w:hint="eastAsia" w:ascii="宋体" w:hAnsi="宋体" w:eastAsia="宋体" w:cs="宋体"/>
                <w:color w:val="000000"/>
                <w:spacing w:val="-10"/>
                <w:kern w:val="0"/>
                <w:sz w:val="22"/>
                <w:szCs w:val="22"/>
                <w:lang w:val="en-US" w:eastAsia="zh-CN" w:bidi="ar-SA"/>
              </w:rPr>
              <w:t>分（就业困难,毕业当年度未完成教育部就业系统派遣）</w:t>
            </w:r>
          </w:p>
        </w:tc>
      </w:tr>
      <w:tr w14:paraId="7B4E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0" w:type="pct"/>
            <w:vMerge w:val="continue"/>
            <w:shd w:val="clear" w:color="auto" w:fill="auto"/>
            <w:noWrap w:val="0"/>
            <w:vAlign w:val="center"/>
          </w:tcPr>
          <w:p w14:paraId="060CE7D5">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39377696">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595A82AA">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S35.留所工作</w:t>
            </w:r>
          </w:p>
        </w:tc>
        <w:tc>
          <w:tcPr>
            <w:tcW w:w="2147" w:type="pct"/>
            <w:shd w:val="clear" w:color="auto" w:fill="auto"/>
            <w:noWrap w:val="0"/>
            <w:vAlign w:val="center"/>
          </w:tcPr>
          <w:p w14:paraId="24649A26">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3分/硕士，5分/博士； 6分/优秀</w:t>
            </w:r>
            <w:r>
              <w:rPr>
                <w:rFonts w:ascii="宋体" w:hAnsi="宋体" w:eastAsia="宋体" w:cs="宋体"/>
                <w:color w:val="000000"/>
                <w:spacing w:val="-10"/>
                <w:kern w:val="0"/>
                <w:sz w:val="22"/>
                <w:szCs w:val="22"/>
                <w:lang w:val="en-US" w:eastAsia="zh-CN" w:bidi="ar-SA"/>
              </w:rPr>
              <w:t>硕士</w:t>
            </w:r>
            <w:r>
              <w:rPr>
                <w:rFonts w:hint="eastAsia" w:ascii="宋体" w:hAnsi="宋体" w:eastAsia="宋体" w:cs="宋体"/>
                <w:color w:val="000000"/>
                <w:spacing w:val="-10"/>
                <w:kern w:val="0"/>
                <w:sz w:val="22"/>
                <w:szCs w:val="22"/>
                <w:lang w:val="en-US" w:eastAsia="zh-CN" w:bidi="ar-SA"/>
              </w:rPr>
              <w:t>,10分/优秀博士（指满足下面之一的：论文盲评及答辩全优、获得国家奖学金、中国科学院院长</w:t>
            </w:r>
            <w:r>
              <w:rPr>
                <w:rFonts w:ascii="宋体" w:hAnsi="宋体" w:eastAsia="宋体" w:cs="宋体"/>
                <w:color w:val="000000"/>
                <w:spacing w:val="-10"/>
                <w:kern w:val="0"/>
                <w:sz w:val="22"/>
                <w:szCs w:val="22"/>
                <w:lang w:val="en-US" w:eastAsia="zh-CN" w:bidi="ar-SA"/>
              </w:rPr>
              <w:t>奖学金</w:t>
            </w:r>
            <w:r>
              <w:rPr>
                <w:rFonts w:hint="eastAsia" w:ascii="宋体" w:hAnsi="宋体" w:eastAsia="宋体" w:cs="宋体"/>
                <w:color w:val="000000"/>
                <w:spacing w:val="-10"/>
                <w:kern w:val="0"/>
                <w:sz w:val="22"/>
                <w:szCs w:val="22"/>
                <w:lang w:val="en-US" w:eastAsia="zh-CN" w:bidi="ar-SA"/>
              </w:rPr>
              <w:t>等校级及以上奖学金）</w:t>
            </w:r>
          </w:p>
        </w:tc>
      </w:tr>
      <w:tr w14:paraId="227F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0" w:type="pct"/>
            <w:vMerge w:val="restart"/>
            <w:shd w:val="clear" w:color="auto" w:fill="auto"/>
            <w:noWrap/>
            <w:vAlign w:val="center"/>
          </w:tcPr>
          <w:p w14:paraId="3B203DF9">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C.研究生科学研究水平</w:t>
            </w:r>
          </w:p>
        </w:tc>
        <w:tc>
          <w:tcPr>
            <w:tcW w:w="705" w:type="pct"/>
            <w:vMerge w:val="restart"/>
            <w:shd w:val="clear" w:color="auto" w:fill="auto"/>
            <w:noWrap/>
            <w:vAlign w:val="center"/>
          </w:tcPr>
          <w:p w14:paraId="7575CCB1">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C1.学术论文质量</w:t>
            </w:r>
          </w:p>
        </w:tc>
        <w:tc>
          <w:tcPr>
            <w:tcW w:w="1498" w:type="pct"/>
            <w:shd w:val="clear" w:color="auto" w:fill="auto"/>
            <w:noWrap w:val="0"/>
            <w:vAlign w:val="center"/>
          </w:tcPr>
          <w:p w14:paraId="540F6795">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S36.全国性或国际性学术会议，被评为优秀论文或优秀口头报告</w:t>
            </w:r>
          </w:p>
        </w:tc>
        <w:tc>
          <w:tcPr>
            <w:tcW w:w="2147" w:type="pct"/>
            <w:shd w:val="clear" w:color="auto" w:fill="auto"/>
            <w:noWrap/>
            <w:vAlign w:val="center"/>
          </w:tcPr>
          <w:p w14:paraId="218CB361">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8分/人</w:t>
            </w:r>
          </w:p>
        </w:tc>
      </w:tr>
      <w:tr w14:paraId="6653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604FF56F">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65F605F9">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0"/>
            <w:vAlign w:val="center"/>
          </w:tcPr>
          <w:p w14:paraId="35FA7C2F">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S37.在</w:t>
            </w:r>
            <w:r>
              <w:rPr>
                <w:rFonts w:ascii="宋体" w:hAnsi="宋体" w:eastAsia="宋体" w:cs="宋体"/>
                <w:color w:val="000000"/>
                <w:spacing w:val="-10"/>
                <w:kern w:val="0"/>
                <w:sz w:val="22"/>
                <w:szCs w:val="22"/>
                <w:lang w:val="en-US" w:eastAsia="zh-CN" w:bidi="ar-SA"/>
              </w:rPr>
              <w:t>《</w:t>
            </w:r>
            <w:r>
              <w:rPr>
                <w:rFonts w:hint="eastAsia" w:ascii="宋体" w:hAnsi="宋体" w:eastAsia="宋体" w:cs="宋体"/>
                <w:color w:val="000000"/>
                <w:spacing w:val="-10"/>
                <w:kern w:val="0"/>
                <w:sz w:val="22"/>
                <w:szCs w:val="22"/>
                <w:lang w:val="en-US" w:eastAsia="zh-CN" w:bidi="ar-SA"/>
              </w:rPr>
              <w:t>SCIENCE</w:t>
            </w:r>
            <w:r>
              <w:rPr>
                <w:rFonts w:ascii="宋体" w:hAnsi="宋体" w:eastAsia="宋体" w:cs="宋体"/>
                <w:color w:val="000000"/>
                <w:spacing w:val="-10"/>
                <w:kern w:val="0"/>
                <w:sz w:val="22"/>
                <w:szCs w:val="22"/>
                <w:lang w:val="en-US" w:eastAsia="zh-CN" w:bidi="ar-SA"/>
              </w:rPr>
              <w:t>》/</w:t>
            </w:r>
            <w:r>
              <w:rPr>
                <w:rFonts w:hint="eastAsia" w:ascii="宋体" w:hAnsi="宋体" w:eastAsia="宋体" w:cs="宋体"/>
                <w:color w:val="000000"/>
                <w:spacing w:val="-10"/>
                <w:kern w:val="0"/>
                <w:sz w:val="22"/>
                <w:szCs w:val="22"/>
                <w:lang w:val="en-US" w:eastAsia="zh-CN" w:bidi="ar-SA"/>
              </w:rPr>
              <w:t>《NATURE》上</w:t>
            </w:r>
            <w:r>
              <w:rPr>
                <w:rFonts w:ascii="宋体" w:hAnsi="宋体" w:eastAsia="宋体" w:cs="宋体"/>
                <w:color w:val="000000"/>
                <w:spacing w:val="-10"/>
                <w:kern w:val="0"/>
                <w:sz w:val="22"/>
                <w:szCs w:val="22"/>
                <w:lang w:val="en-US" w:eastAsia="zh-CN" w:bidi="ar-SA"/>
              </w:rPr>
              <w:t>发</w:t>
            </w:r>
            <w:r>
              <w:rPr>
                <w:rFonts w:hint="eastAsia" w:ascii="宋体" w:hAnsi="宋体" w:eastAsia="宋体" w:cs="宋体"/>
                <w:color w:val="000000"/>
                <w:spacing w:val="-10"/>
                <w:kern w:val="0"/>
                <w:sz w:val="22"/>
                <w:szCs w:val="22"/>
                <w:lang w:val="en-US" w:eastAsia="zh-CN" w:bidi="ar-SA"/>
              </w:rPr>
              <w:t>表文章</w:t>
            </w:r>
          </w:p>
        </w:tc>
        <w:tc>
          <w:tcPr>
            <w:tcW w:w="2147" w:type="pct"/>
            <w:shd w:val="clear" w:color="auto" w:fill="auto"/>
            <w:noWrap/>
            <w:vAlign w:val="center"/>
          </w:tcPr>
          <w:p w14:paraId="4018878C">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50</w:t>
            </w:r>
            <w:r>
              <w:rPr>
                <w:rFonts w:hint="eastAsia" w:ascii="宋体" w:hAnsi="宋体" w:eastAsia="宋体" w:cs="宋体"/>
                <w:color w:val="000000"/>
                <w:spacing w:val="-10"/>
                <w:kern w:val="0"/>
                <w:sz w:val="22"/>
                <w:szCs w:val="22"/>
                <w:lang w:val="en-US" w:eastAsia="zh-CN" w:bidi="ar-SA"/>
              </w:rPr>
              <w:t>分/人</w:t>
            </w:r>
          </w:p>
        </w:tc>
      </w:tr>
      <w:tr w14:paraId="35A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0DB608E1">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1CDB2420">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0"/>
            <w:vAlign w:val="center"/>
          </w:tcPr>
          <w:p w14:paraId="14B7C3AD">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S38.在</w:t>
            </w:r>
            <w:r>
              <w:rPr>
                <w:rFonts w:ascii="宋体" w:hAnsi="宋体" w:eastAsia="宋体" w:cs="宋体"/>
                <w:color w:val="000000"/>
                <w:spacing w:val="-10"/>
                <w:kern w:val="0"/>
                <w:sz w:val="22"/>
                <w:szCs w:val="22"/>
                <w:lang w:val="en-US" w:eastAsia="zh-CN" w:bidi="ar-SA"/>
              </w:rPr>
              <w:t>影响因子</w:t>
            </w:r>
            <w:r>
              <w:rPr>
                <w:rFonts w:hint="eastAsia" w:ascii="宋体" w:hAnsi="宋体" w:eastAsia="宋体" w:cs="宋体"/>
                <w:color w:val="000000"/>
                <w:spacing w:val="-10"/>
                <w:kern w:val="0"/>
                <w:sz w:val="22"/>
                <w:szCs w:val="22"/>
                <w:lang w:val="en-US" w:eastAsia="zh-CN" w:bidi="ar-SA"/>
              </w:rPr>
              <w:t>10以上</w:t>
            </w:r>
            <w:r>
              <w:rPr>
                <w:rFonts w:ascii="宋体" w:hAnsi="宋体" w:eastAsia="宋体" w:cs="宋体"/>
                <w:color w:val="000000"/>
                <w:spacing w:val="-10"/>
                <w:kern w:val="0"/>
                <w:sz w:val="22"/>
                <w:szCs w:val="22"/>
                <w:lang w:val="en-US" w:eastAsia="zh-CN" w:bidi="ar-SA"/>
              </w:rPr>
              <w:t>的</w:t>
            </w:r>
            <w:r>
              <w:rPr>
                <w:rFonts w:hint="eastAsia" w:ascii="宋体" w:hAnsi="宋体" w:eastAsia="宋体" w:cs="宋体"/>
                <w:color w:val="000000"/>
                <w:spacing w:val="-10"/>
                <w:kern w:val="0"/>
                <w:sz w:val="22"/>
                <w:szCs w:val="22"/>
                <w:lang w:val="en-US" w:eastAsia="zh-CN" w:bidi="ar-SA"/>
              </w:rPr>
              <w:t>Q1期刊上</w:t>
            </w:r>
            <w:r>
              <w:rPr>
                <w:rFonts w:ascii="宋体" w:hAnsi="宋体" w:eastAsia="宋体" w:cs="宋体"/>
                <w:color w:val="000000"/>
                <w:spacing w:val="-10"/>
                <w:kern w:val="0"/>
                <w:sz w:val="22"/>
                <w:szCs w:val="22"/>
                <w:lang w:val="en-US" w:eastAsia="zh-CN" w:bidi="ar-SA"/>
              </w:rPr>
              <w:t>发表学术论文</w:t>
            </w:r>
          </w:p>
        </w:tc>
        <w:tc>
          <w:tcPr>
            <w:tcW w:w="2147" w:type="pct"/>
            <w:shd w:val="clear" w:color="auto" w:fill="auto"/>
            <w:noWrap/>
            <w:vAlign w:val="center"/>
          </w:tcPr>
          <w:p w14:paraId="1F7AB487">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10</w:t>
            </w:r>
            <w:r>
              <w:rPr>
                <w:rFonts w:hint="eastAsia" w:ascii="宋体" w:hAnsi="宋体" w:eastAsia="宋体" w:cs="宋体"/>
                <w:color w:val="000000"/>
                <w:spacing w:val="-10"/>
                <w:kern w:val="0"/>
                <w:sz w:val="22"/>
                <w:szCs w:val="22"/>
                <w:lang w:val="en-US" w:eastAsia="zh-CN" w:bidi="ar-SA"/>
              </w:rPr>
              <w:t>分/人</w:t>
            </w:r>
          </w:p>
        </w:tc>
      </w:tr>
      <w:tr w14:paraId="4597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30A89FED">
            <w:pPr>
              <w:widowControl/>
              <w:jc w:val="center"/>
              <w:rPr>
                <w:rFonts w:ascii="宋体" w:hAnsi="宋体" w:eastAsia="宋体" w:cs="宋体"/>
                <w:color w:val="000000"/>
                <w:spacing w:val="-10"/>
                <w:kern w:val="0"/>
                <w:sz w:val="22"/>
                <w:szCs w:val="22"/>
                <w:lang w:val="en-US" w:eastAsia="zh-CN" w:bidi="ar-SA"/>
              </w:rPr>
            </w:pPr>
          </w:p>
        </w:tc>
        <w:tc>
          <w:tcPr>
            <w:tcW w:w="705" w:type="pct"/>
            <w:shd w:val="clear" w:color="auto" w:fill="auto"/>
            <w:noWrap/>
            <w:vAlign w:val="center"/>
          </w:tcPr>
          <w:p w14:paraId="7916B05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C2.专利</w:t>
            </w:r>
          </w:p>
        </w:tc>
        <w:tc>
          <w:tcPr>
            <w:tcW w:w="1498" w:type="pct"/>
            <w:shd w:val="clear" w:color="auto" w:fill="auto"/>
            <w:noWrap w:val="0"/>
            <w:vAlign w:val="center"/>
          </w:tcPr>
          <w:p w14:paraId="5AA8CC7D">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S39.在专利申请中署名</w:t>
            </w:r>
          </w:p>
        </w:tc>
        <w:tc>
          <w:tcPr>
            <w:tcW w:w="2147" w:type="pct"/>
            <w:shd w:val="clear" w:color="auto" w:fill="auto"/>
            <w:noWrap/>
            <w:vAlign w:val="center"/>
          </w:tcPr>
          <w:p w14:paraId="02206635">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5分/人</w:t>
            </w:r>
          </w:p>
        </w:tc>
      </w:tr>
      <w:tr w14:paraId="28BF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07D7EECB">
            <w:pPr>
              <w:widowControl/>
              <w:jc w:val="center"/>
              <w:rPr>
                <w:rFonts w:ascii="宋体" w:hAnsi="宋体" w:eastAsia="宋体" w:cs="宋体"/>
                <w:color w:val="000000"/>
                <w:spacing w:val="-10"/>
                <w:kern w:val="0"/>
                <w:sz w:val="22"/>
                <w:szCs w:val="22"/>
                <w:lang w:val="en-US" w:eastAsia="zh-CN" w:bidi="ar-SA"/>
              </w:rPr>
            </w:pPr>
          </w:p>
        </w:tc>
        <w:tc>
          <w:tcPr>
            <w:tcW w:w="705" w:type="pct"/>
            <w:vMerge w:val="restart"/>
            <w:shd w:val="clear" w:color="auto" w:fill="auto"/>
            <w:noWrap/>
            <w:vAlign w:val="center"/>
          </w:tcPr>
          <w:p w14:paraId="4CEDD9BC">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C3.国际交流</w:t>
            </w:r>
          </w:p>
        </w:tc>
        <w:tc>
          <w:tcPr>
            <w:tcW w:w="1498" w:type="pct"/>
            <w:shd w:val="clear" w:color="auto" w:fill="auto"/>
            <w:noWrap w:val="0"/>
            <w:vAlign w:val="center"/>
          </w:tcPr>
          <w:p w14:paraId="34267F8C">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S40.参加国际学术会议交流并张贴报告</w:t>
            </w:r>
          </w:p>
        </w:tc>
        <w:tc>
          <w:tcPr>
            <w:tcW w:w="2147" w:type="pct"/>
            <w:shd w:val="clear" w:color="auto" w:fill="auto"/>
            <w:noWrap/>
            <w:vAlign w:val="center"/>
          </w:tcPr>
          <w:p w14:paraId="7124701A">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3分/人</w:t>
            </w:r>
          </w:p>
        </w:tc>
      </w:tr>
      <w:tr w14:paraId="5352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24CB647C">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3F4BD593">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0"/>
            <w:vAlign w:val="center"/>
          </w:tcPr>
          <w:p w14:paraId="09A32815">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S41.参加国际学术会议交流并作口头报告</w:t>
            </w:r>
          </w:p>
        </w:tc>
        <w:tc>
          <w:tcPr>
            <w:tcW w:w="2147" w:type="pct"/>
            <w:shd w:val="clear" w:color="auto" w:fill="auto"/>
            <w:noWrap/>
            <w:vAlign w:val="center"/>
          </w:tcPr>
          <w:p w14:paraId="050F8680">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5分/人</w:t>
            </w:r>
          </w:p>
        </w:tc>
      </w:tr>
      <w:tr w14:paraId="3539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5AB7B3EB">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60752EAE">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0"/>
            <w:vAlign w:val="center"/>
          </w:tcPr>
          <w:p w14:paraId="0545DECE">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w:t>
            </w:r>
            <w:r>
              <w:rPr>
                <w:rFonts w:ascii="宋体" w:hAnsi="宋体" w:eastAsia="宋体" w:cs="宋体"/>
                <w:color w:val="000000"/>
                <w:spacing w:val="-10"/>
                <w:kern w:val="0"/>
                <w:sz w:val="22"/>
                <w:szCs w:val="22"/>
                <w:lang w:val="en-US" w:eastAsia="zh-CN" w:bidi="ar-SA"/>
              </w:rPr>
              <w:t>4</w:t>
            </w:r>
            <w:r>
              <w:rPr>
                <w:rFonts w:hint="eastAsia" w:ascii="宋体" w:hAnsi="宋体" w:eastAsia="宋体" w:cs="宋体"/>
                <w:color w:val="000000"/>
                <w:spacing w:val="-10"/>
                <w:kern w:val="0"/>
                <w:sz w:val="22"/>
                <w:szCs w:val="22"/>
                <w:lang w:val="en-US" w:eastAsia="zh-CN" w:bidi="ar-SA"/>
              </w:rPr>
              <w:t>2.公费出国/外方资助出国</w:t>
            </w:r>
          </w:p>
        </w:tc>
        <w:tc>
          <w:tcPr>
            <w:tcW w:w="2147" w:type="pct"/>
            <w:shd w:val="clear" w:color="auto" w:fill="auto"/>
            <w:noWrap/>
            <w:vAlign w:val="center"/>
          </w:tcPr>
          <w:p w14:paraId="63F8C2DB">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10分/人</w:t>
            </w:r>
          </w:p>
        </w:tc>
      </w:tr>
      <w:tr w14:paraId="5245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1D0CE323">
            <w:pPr>
              <w:widowControl/>
              <w:jc w:val="center"/>
              <w:rPr>
                <w:rFonts w:ascii="宋体" w:hAnsi="宋体" w:eastAsia="宋体" w:cs="宋体"/>
                <w:color w:val="000000"/>
                <w:spacing w:val="-10"/>
                <w:kern w:val="0"/>
                <w:sz w:val="22"/>
                <w:szCs w:val="22"/>
                <w:lang w:val="en-US" w:eastAsia="zh-CN" w:bidi="ar-SA"/>
              </w:rPr>
            </w:pPr>
          </w:p>
        </w:tc>
        <w:tc>
          <w:tcPr>
            <w:tcW w:w="705" w:type="pct"/>
            <w:vMerge w:val="restart"/>
            <w:shd w:val="clear" w:color="auto" w:fill="auto"/>
            <w:noWrap w:val="0"/>
            <w:vAlign w:val="center"/>
          </w:tcPr>
          <w:p w14:paraId="00570700">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C4.科技创新实践</w:t>
            </w:r>
            <w:r>
              <w:rPr>
                <w:rFonts w:ascii="宋体" w:hAnsi="宋体" w:eastAsia="宋体" w:cs="宋体"/>
                <w:color w:val="000000"/>
                <w:spacing w:val="-10"/>
                <w:kern w:val="0"/>
                <w:sz w:val="22"/>
                <w:szCs w:val="22"/>
                <w:lang w:val="en-US" w:eastAsia="zh-CN" w:bidi="ar-SA"/>
              </w:rPr>
              <w:t>活动</w:t>
            </w:r>
          </w:p>
        </w:tc>
        <w:tc>
          <w:tcPr>
            <w:tcW w:w="1498" w:type="pct"/>
            <w:shd w:val="clear" w:color="auto" w:fill="auto"/>
            <w:noWrap w:val="0"/>
            <w:vAlign w:val="center"/>
          </w:tcPr>
          <w:p w14:paraId="61E2B1B7">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w:t>
            </w:r>
            <w:r>
              <w:rPr>
                <w:rFonts w:ascii="宋体" w:hAnsi="宋体" w:eastAsia="宋体" w:cs="宋体"/>
                <w:color w:val="000000"/>
                <w:spacing w:val="-10"/>
                <w:kern w:val="0"/>
                <w:sz w:val="22"/>
                <w:szCs w:val="22"/>
                <w:lang w:val="en-US" w:eastAsia="zh-CN" w:bidi="ar-SA"/>
              </w:rPr>
              <w:t>4</w:t>
            </w:r>
            <w:r>
              <w:rPr>
                <w:rFonts w:hint="eastAsia" w:ascii="宋体" w:hAnsi="宋体" w:eastAsia="宋体" w:cs="宋体"/>
                <w:color w:val="000000"/>
                <w:spacing w:val="-10"/>
                <w:kern w:val="0"/>
                <w:sz w:val="22"/>
                <w:szCs w:val="22"/>
                <w:lang w:val="en-US" w:eastAsia="zh-CN" w:bidi="ar-SA"/>
              </w:rPr>
              <w:t>3</w:t>
            </w:r>
            <w:r>
              <w:rPr>
                <w:rFonts w:ascii="宋体" w:hAnsi="宋体" w:eastAsia="宋体" w:cs="宋体"/>
                <w:color w:val="000000"/>
                <w:spacing w:val="-10"/>
                <w:kern w:val="0"/>
                <w:sz w:val="22"/>
                <w:szCs w:val="22"/>
                <w:lang w:val="en-US" w:eastAsia="zh-CN" w:bidi="ar-SA"/>
              </w:rPr>
              <w:t>.</w:t>
            </w:r>
            <w:r>
              <w:rPr>
                <w:rFonts w:hint="eastAsia" w:ascii="宋体" w:hAnsi="宋体" w:eastAsia="宋体" w:cs="宋体"/>
                <w:color w:val="000000"/>
                <w:spacing w:val="-10"/>
                <w:kern w:val="0"/>
                <w:sz w:val="22"/>
                <w:szCs w:val="22"/>
                <w:lang w:val="en-US" w:eastAsia="zh-CN" w:bidi="ar-SA"/>
              </w:rPr>
              <w:t>参加省市级</w:t>
            </w:r>
            <w:r>
              <w:rPr>
                <w:rFonts w:ascii="宋体" w:hAnsi="宋体" w:eastAsia="宋体" w:cs="宋体"/>
                <w:color w:val="000000"/>
                <w:spacing w:val="-10"/>
                <w:kern w:val="0"/>
                <w:sz w:val="22"/>
                <w:szCs w:val="22"/>
                <w:lang w:val="en-US" w:eastAsia="zh-CN" w:bidi="ar-SA"/>
              </w:rPr>
              <w:t>及以上科技创新</w:t>
            </w:r>
            <w:r>
              <w:rPr>
                <w:rFonts w:hint="eastAsia" w:ascii="宋体" w:hAnsi="宋体" w:eastAsia="宋体" w:cs="宋体"/>
                <w:color w:val="000000"/>
                <w:spacing w:val="-10"/>
                <w:kern w:val="0"/>
                <w:sz w:val="22"/>
                <w:szCs w:val="22"/>
                <w:lang w:val="en-US" w:eastAsia="zh-CN" w:bidi="ar-SA"/>
              </w:rPr>
              <w:t>实践</w:t>
            </w:r>
            <w:r>
              <w:rPr>
                <w:rFonts w:ascii="宋体" w:hAnsi="宋体" w:eastAsia="宋体" w:cs="宋体"/>
                <w:color w:val="000000"/>
                <w:spacing w:val="-10"/>
                <w:kern w:val="0"/>
                <w:sz w:val="22"/>
                <w:szCs w:val="22"/>
                <w:lang w:val="en-US" w:eastAsia="zh-CN" w:bidi="ar-SA"/>
              </w:rPr>
              <w:t>项目并获得奖励</w:t>
            </w:r>
          </w:p>
        </w:tc>
        <w:tc>
          <w:tcPr>
            <w:tcW w:w="2147" w:type="pct"/>
            <w:shd w:val="clear" w:color="auto" w:fill="auto"/>
            <w:noWrap/>
            <w:vAlign w:val="center"/>
          </w:tcPr>
          <w:p w14:paraId="4227C337">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5</w:t>
            </w:r>
            <w:r>
              <w:rPr>
                <w:rFonts w:hint="eastAsia" w:ascii="宋体" w:hAnsi="宋体" w:eastAsia="宋体" w:cs="宋体"/>
                <w:color w:val="000000"/>
                <w:spacing w:val="-10"/>
                <w:kern w:val="0"/>
                <w:sz w:val="22"/>
                <w:szCs w:val="22"/>
                <w:lang w:val="en-US" w:eastAsia="zh-CN" w:bidi="ar-SA"/>
              </w:rPr>
              <w:t>分/人</w:t>
            </w:r>
          </w:p>
        </w:tc>
      </w:tr>
      <w:tr w14:paraId="3CB6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4B68E59C">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217D490D">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0"/>
            <w:vAlign w:val="center"/>
          </w:tcPr>
          <w:p w14:paraId="55A5808F">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w:t>
            </w:r>
            <w:r>
              <w:rPr>
                <w:rFonts w:ascii="宋体" w:hAnsi="宋体" w:eastAsia="宋体" w:cs="宋体"/>
                <w:color w:val="000000"/>
                <w:spacing w:val="-10"/>
                <w:kern w:val="0"/>
                <w:sz w:val="22"/>
                <w:szCs w:val="22"/>
                <w:lang w:val="en-US" w:eastAsia="zh-CN" w:bidi="ar-SA"/>
              </w:rPr>
              <w:t>4</w:t>
            </w:r>
            <w:r>
              <w:rPr>
                <w:rFonts w:hint="eastAsia" w:ascii="宋体" w:hAnsi="宋体" w:eastAsia="宋体" w:cs="宋体"/>
                <w:color w:val="000000"/>
                <w:spacing w:val="-10"/>
                <w:kern w:val="0"/>
                <w:sz w:val="22"/>
                <w:szCs w:val="22"/>
                <w:lang w:val="en-US" w:eastAsia="zh-CN" w:bidi="ar-SA"/>
              </w:rPr>
              <w:t>4</w:t>
            </w:r>
            <w:r>
              <w:rPr>
                <w:rFonts w:ascii="宋体" w:hAnsi="宋体" w:eastAsia="宋体" w:cs="宋体"/>
                <w:color w:val="000000"/>
                <w:spacing w:val="-10"/>
                <w:kern w:val="0"/>
                <w:sz w:val="22"/>
                <w:szCs w:val="22"/>
                <w:lang w:val="en-US" w:eastAsia="zh-CN" w:bidi="ar-SA"/>
              </w:rPr>
              <w:t>.</w:t>
            </w:r>
            <w:r>
              <w:rPr>
                <w:rFonts w:hint="eastAsia" w:ascii="宋体" w:hAnsi="宋体" w:eastAsia="宋体" w:cs="宋体"/>
                <w:color w:val="000000"/>
                <w:spacing w:val="-10"/>
                <w:kern w:val="0"/>
                <w:sz w:val="22"/>
                <w:szCs w:val="22"/>
                <w:lang w:val="en-US" w:eastAsia="zh-CN" w:bidi="ar-SA"/>
              </w:rPr>
              <w:t>参加所级</w:t>
            </w:r>
            <w:r>
              <w:rPr>
                <w:rFonts w:ascii="宋体" w:hAnsi="宋体" w:eastAsia="宋体" w:cs="宋体"/>
                <w:color w:val="000000"/>
                <w:spacing w:val="-10"/>
                <w:kern w:val="0"/>
                <w:sz w:val="22"/>
                <w:szCs w:val="22"/>
                <w:lang w:val="en-US" w:eastAsia="zh-CN" w:bidi="ar-SA"/>
              </w:rPr>
              <w:t>及</w:t>
            </w:r>
            <w:r>
              <w:rPr>
                <w:rFonts w:hint="eastAsia" w:ascii="宋体" w:hAnsi="宋体" w:eastAsia="宋体" w:cs="宋体"/>
                <w:color w:val="000000"/>
                <w:spacing w:val="-10"/>
                <w:kern w:val="0"/>
                <w:sz w:val="22"/>
                <w:szCs w:val="22"/>
                <w:lang w:val="en-US" w:eastAsia="zh-CN" w:bidi="ar-SA"/>
              </w:rPr>
              <w:t>校级</w:t>
            </w:r>
            <w:r>
              <w:rPr>
                <w:rFonts w:ascii="宋体" w:hAnsi="宋体" w:eastAsia="宋体" w:cs="宋体"/>
                <w:color w:val="000000"/>
                <w:spacing w:val="-10"/>
                <w:kern w:val="0"/>
                <w:sz w:val="22"/>
                <w:szCs w:val="22"/>
                <w:lang w:val="en-US" w:eastAsia="zh-CN" w:bidi="ar-SA"/>
              </w:rPr>
              <w:t>科技创新</w:t>
            </w:r>
            <w:r>
              <w:rPr>
                <w:rFonts w:hint="eastAsia" w:ascii="宋体" w:hAnsi="宋体" w:eastAsia="宋体" w:cs="宋体"/>
                <w:color w:val="000000"/>
                <w:spacing w:val="-10"/>
                <w:kern w:val="0"/>
                <w:sz w:val="22"/>
                <w:szCs w:val="22"/>
                <w:lang w:val="en-US" w:eastAsia="zh-CN" w:bidi="ar-SA"/>
              </w:rPr>
              <w:t>实践</w:t>
            </w:r>
            <w:r>
              <w:rPr>
                <w:rFonts w:ascii="宋体" w:hAnsi="宋体" w:eastAsia="宋体" w:cs="宋体"/>
                <w:color w:val="000000"/>
                <w:spacing w:val="-10"/>
                <w:kern w:val="0"/>
                <w:sz w:val="22"/>
                <w:szCs w:val="22"/>
                <w:lang w:val="en-US" w:eastAsia="zh-CN" w:bidi="ar-SA"/>
              </w:rPr>
              <w:t>项目并获得奖励</w:t>
            </w:r>
          </w:p>
        </w:tc>
        <w:tc>
          <w:tcPr>
            <w:tcW w:w="2147" w:type="pct"/>
            <w:shd w:val="clear" w:color="auto" w:fill="auto"/>
            <w:noWrap/>
            <w:vAlign w:val="center"/>
          </w:tcPr>
          <w:p w14:paraId="6625D138">
            <w:pPr>
              <w:widowControl/>
              <w:jc w:val="center"/>
              <w:rPr>
                <w:rFonts w:ascii="宋体" w:hAnsi="宋体" w:eastAsia="宋体" w:cs="宋体"/>
                <w:color w:val="000000"/>
                <w:spacing w:val="-10"/>
                <w:kern w:val="0"/>
                <w:sz w:val="22"/>
                <w:szCs w:val="22"/>
                <w:lang w:val="en-US" w:eastAsia="zh-CN" w:bidi="ar-SA"/>
              </w:rPr>
            </w:pPr>
            <w:r>
              <w:rPr>
                <w:rFonts w:ascii="宋体" w:hAnsi="宋体" w:eastAsia="宋体" w:cs="宋体"/>
                <w:color w:val="000000"/>
                <w:spacing w:val="-10"/>
                <w:kern w:val="0"/>
                <w:sz w:val="22"/>
                <w:szCs w:val="22"/>
                <w:lang w:val="en-US" w:eastAsia="zh-CN" w:bidi="ar-SA"/>
              </w:rPr>
              <w:t>3</w:t>
            </w:r>
            <w:r>
              <w:rPr>
                <w:rFonts w:hint="eastAsia" w:ascii="宋体" w:hAnsi="宋体" w:eastAsia="宋体" w:cs="宋体"/>
                <w:color w:val="000000"/>
                <w:spacing w:val="-10"/>
                <w:kern w:val="0"/>
                <w:sz w:val="22"/>
                <w:szCs w:val="22"/>
                <w:lang w:val="en-US" w:eastAsia="zh-CN" w:bidi="ar-SA"/>
              </w:rPr>
              <w:t>分/人</w:t>
            </w:r>
          </w:p>
        </w:tc>
      </w:tr>
      <w:tr w14:paraId="113E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ign w:val="center"/>
          </w:tcPr>
          <w:p w14:paraId="3ADFC4E1">
            <w:pPr>
              <w:widowControl/>
              <w:jc w:val="center"/>
              <w:rPr>
                <w:rFonts w:ascii="宋体" w:hAnsi="宋体" w:eastAsia="宋体" w:cs="宋体"/>
                <w:color w:val="000000"/>
                <w:spacing w:val="-10"/>
                <w:kern w:val="0"/>
                <w:sz w:val="22"/>
                <w:szCs w:val="22"/>
                <w:lang w:val="en-US" w:eastAsia="zh-CN" w:bidi="ar-SA"/>
              </w:rPr>
            </w:pPr>
          </w:p>
        </w:tc>
        <w:tc>
          <w:tcPr>
            <w:tcW w:w="705" w:type="pct"/>
            <w:shd w:val="clear" w:color="auto" w:fill="auto"/>
            <w:noWrap/>
            <w:vAlign w:val="center"/>
          </w:tcPr>
          <w:p w14:paraId="68BE24E7">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C5.科研能力</w:t>
            </w:r>
          </w:p>
        </w:tc>
        <w:tc>
          <w:tcPr>
            <w:tcW w:w="1498" w:type="pct"/>
            <w:shd w:val="clear" w:color="auto" w:fill="auto"/>
            <w:noWrap/>
            <w:vAlign w:val="center"/>
          </w:tcPr>
          <w:p w14:paraId="7F54EF4F">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S45.科研项目</w:t>
            </w:r>
          </w:p>
        </w:tc>
        <w:tc>
          <w:tcPr>
            <w:tcW w:w="2147" w:type="pct"/>
            <w:shd w:val="clear" w:color="auto" w:fill="auto"/>
            <w:noWrap/>
            <w:vAlign w:val="center"/>
          </w:tcPr>
          <w:p w14:paraId="03F3B458">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15分/项（国家级项目）</w:t>
            </w:r>
          </w:p>
          <w:p w14:paraId="039D00B3">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10分/项（省市级项目）</w:t>
            </w:r>
          </w:p>
        </w:tc>
      </w:tr>
      <w:tr w14:paraId="65D9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restart"/>
            <w:shd w:val="clear" w:color="auto" w:fill="auto"/>
            <w:noWrap/>
            <w:vAlign w:val="center"/>
          </w:tcPr>
          <w:p w14:paraId="0AF062CB">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D.负分项</w:t>
            </w:r>
          </w:p>
        </w:tc>
        <w:tc>
          <w:tcPr>
            <w:tcW w:w="705" w:type="pct"/>
            <w:vMerge w:val="restart"/>
            <w:shd w:val="clear" w:color="auto" w:fill="auto"/>
            <w:noWrap/>
            <w:vAlign w:val="center"/>
          </w:tcPr>
          <w:p w14:paraId="2349566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D1.重大事故</w:t>
            </w:r>
          </w:p>
        </w:tc>
        <w:tc>
          <w:tcPr>
            <w:tcW w:w="1498" w:type="pct"/>
            <w:shd w:val="clear" w:color="auto" w:fill="auto"/>
            <w:noWrap/>
            <w:vAlign w:val="center"/>
          </w:tcPr>
          <w:p w14:paraId="0C38C563">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S46.研究生在学期间出现严重心理问题，导师</w:t>
            </w:r>
            <w:r>
              <w:rPr>
                <w:rFonts w:ascii="宋体" w:hAnsi="宋体" w:eastAsia="宋体" w:cs="宋体"/>
                <w:color w:val="000000"/>
                <w:spacing w:val="-10"/>
                <w:kern w:val="0"/>
                <w:sz w:val="22"/>
                <w:szCs w:val="22"/>
                <w:lang w:val="en-US" w:eastAsia="zh-CN" w:bidi="ar-SA"/>
              </w:rPr>
              <w:t>未及时处理</w:t>
            </w:r>
            <w:r>
              <w:rPr>
                <w:rFonts w:hint="eastAsia" w:ascii="宋体" w:hAnsi="宋体" w:eastAsia="宋体" w:cs="宋体"/>
                <w:color w:val="000000"/>
                <w:spacing w:val="-10"/>
                <w:kern w:val="0"/>
                <w:sz w:val="22"/>
                <w:szCs w:val="22"/>
                <w:lang w:val="en-US" w:eastAsia="zh-CN" w:bidi="ar-SA"/>
              </w:rPr>
              <w:t>，产生重大安全隐患</w:t>
            </w:r>
          </w:p>
        </w:tc>
        <w:tc>
          <w:tcPr>
            <w:tcW w:w="2147" w:type="pct"/>
            <w:shd w:val="clear" w:color="auto" w:fill="auto"/>
            <w:noWrap/>
            <w:vAlign w:val="center"/>
          </w:tcPr>
          <w:p w14:paraId="3B725A1C">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归一化赋分后总成绩-10分</w:t>
            </w:r>
          </w:p>
        </w:tc>
      </w:tr>
      <w:tr w14:paraId="4A9A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ign w:val="center"/>
          </w:tcPr>
          <w:p w14:paraId="2E694BC3">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ign w:val="center"/>
          </w:tcPr>
          <w:p w14:paraId="16831805">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71C8FAF4">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S47.导师</w:t>
            </w:r>
            <w:r>
              <w:rPr>
                <w:rFonts w:ascii="宋体" w:hAnsi="宋体" w:eastAsia="宋体" w:cs="宋体"/>
                <w:color w:val="000000"/>
                <w:spacing w:val="-10"/>
                <w:kern w:val="0"/>
                <w:sz w:val="22"/>
                <w:szCs w:val="22"/>
                <w:lang w:val="en-US" w:eastAsia="zh-CN" w:bidi="ar-SA"/>
              </w:rPr>
              <w:t>对</w:t>
            </w:r>
            <w:r>
              <w:rPr>
                <w:rFonts w:hint="eastAsia" w:ascii="宋体" w:hAnsi="宋体" w:eastAsia="宋体" w:cs="宋体"/>
                <w:color w:val="000000"/>
                <w:spacing w:val="-10"/>
                <w:kern w:val="0"/>
                <w:sz w:val="22"/>
                <w:szCs w:val="22"/>
                <w:lang w:val="en-US" w:eastAsia="zh-CN" w:bidi="ar-SA"/>
              </w:rPr>
              <w:t>研究生造成重大精神伤害，产生重大安全隐患</w:t>
            </w:r>
          </w:p>
        </w:tc>
        <w:tc>
          <w:tcPr>
            <w:tcW w:w="2147" w:type="pct"/>
            <w:shd w:val="clear" w:color="auto" w:fill="auto"/>
            <w:noWrap/>
            <w:vAlign w:val="center"/>
          </w:tcPr>
          <w:p w14:paraId="692C1AF9">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归一化赋分后总成绩-10分</w:t>
            </w:r>
          </w:p>
        </w:tc>
      </w:tr>
      <w:tr w14:paraId="579F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ign w:val="center"/>
          </w:tcPr>
          <w:p w14:paraId="483F5C2F">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ign w:val="center"/>
          </w:tcPr>
          <w:p w14:paraId="0E556525">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72CACEBB">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S48.研究生在学期间发生重大安全事故</w:t>
            </w:r>
          </w:p>
        </w:tc>
        <w:tc>
          <w:tcPr>
            <w:tcW w:w="2147" w:type="pct"/>
            <w:shd w:val="clear" w:color="auto" w:fill="auto"/>
            <w:noWrap/>
            <w:vAlign w:val="center"/>
          </w:tcPr>
          <w:p w14:paraId="0FCA8C5B">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归一化赋分后总成绩-10分</w:t>
            </w:r>
          </w:p>
        </w:tc>
      </w:tr>
      <w:tr w14:paraId="3590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restart"/>
            <w:shd w:val="clear" w:color="auto" w:fill="auto"/>
            <w:noWrap/>
            <w:vAlign w:val="center"/>
          </w:tcPr>
          <w:p w14:paraId="63C85E4C">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E.中止项</w:t>
            </w:r>
          </w:p>
        </w:tc>
        <w:tc>
          <w:tcPr>
            <w:tcW w:w="705" w:type="pct"/>
            <w:shd w:val="clear" w:color="auto" w:fill="auto"/>
            <w:noWrap/>
            <w:vAlign w:val="center"/>
          </w:tcPr>
          <w:p w14:paraId="2051169F">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E1.思政教育</w:t>
            </w:r>
          </w:p>
        </w:tc>
        <w:tc>
          <w:tcPr>
            <w:tcW w:w="1498" w:type="pct"/>
            <w:shd w:val="clear" w:color="auto" w:fill="auto"/>
            <w:noWrap/>
            <w:vAlign w:val="center"/>
          </w:tcPr>
          <w:p w14:paraId="3C506A23">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S49.三观引导</w:t>
            </w:r>
          </w:p>
        </w:tc>
        <w:tc>
          <w:tcPr>
            <w:tcW w:w="2147" w:type="pct"/>
            <w:shd w:val="clear" w:color="auto" w:fill="auto"/>
            <w:noWrap/>
            <w:vAlign w:val="center"/>
          </w:tcPr>
          <w:p w14:paraId="6228C94D">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当年年度考核为0分（出现重大问题，造成严重后果）</w:t>
            </w:r>
          </w:p>
        </w:tc>
      </w:tr>
      <w:tr w14:paraId="500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5F8FEF2E">
            <w:pPr>
              <w:widowControl/>
              <w:jc w:val="center"/>
              <w:rPr>
                <w:rFonts w:ascii="宋体" w:hAnsi="宋体" w:eastAsia="宋体" w:cs="宋体"/>
                <w:color w:val="000000"/>
                <w:spacing w:val="-10"/>
                <w:kern w:val="0"/>
                <w:sz w:val="22"/>
                <w:szCs w:val="22"/>
                <w:lang w:val="en-US" w:eastAsia="zh-CN" w:bidi="ar-SA"/>
              </w:rPr>
            </w:pPr>
          </w:p>
        </w:tc>
        <w:tc>
          <w:tcPr>
            <w:tcW w:w="705" w:type="pct"/>
            <w:vMerge w:val="restart"/>
            <w:shd w:val="clear" w:color="auto" w:fill="auto"/>
            <w:noWrap/>
            <w:vAlign w:val="center"/>
          </w:tcPr>
          <w:p w14:paraId="7876D174">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E2.其他</w:t>
            </w:r>
          </w:p>
        </w:tc>
        <w:tc>
          <w:tcPr>
            <w:tcW w:w="1498" w:type="pct"/>
            <w:shd w:val="clear" w:color="auto" w:fill="auto"/>
            <w:noWrap/>
            <w:vAlign w:val="center"/>
          </w:tcPr>
          <w:p w14:paraId="3F66C488">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S50.论文抽检不通过</w:t>
            </w:r>
          </w:p>
        </w:tc>
        <w:tc>
          <w:tcPr>
            <w:tcW w:w="2147" w:type="pct"/>
            <w:shd w:val="clear" w:color="auto" w:fill="auto"/>
            <w:noWrap/>
            <w:vAlign w:val="center"/>
          </w:tcPr>
          <w:p w14:paraId="503DCE98">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当年年度考核为0分</w:t>
            </w:r>
          </w:p>
        </w:tc>
      </w:tr>
      <w:tr w14:paraId="6763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0" w:type="pct"/>
            <w:vMerge w:val="continue"/>
            <w:shd w:val="clear" w:color="auto" w:fill="auto"/>
            <w:noWrap w:val="0"/>
            <w:vAlign w:val="center"/>
          </w:tcPr>
          <w:p w14:paraId="7AB8C154">
            <w:pPr>
              <w:widowControl/>
              <w:jc w:val="center"/>
              <w:rPr>
                <w:rFonts w:ascii="宋体" w:hAnsi="宋体" w:eastAsia="宋体" w:cs="宋体"/>
                <w:color w:val="000000"/>
                <w:spacing w:val="-10"/>
                <w:kern w:val="0"/>
                <w:sz w:val="22"/>
                <w:szCs w:val="22"/>
                <w:lang w:val="en-US" w:eastAsia="zh-CN" w:bidi="ar-SA"/>
              </w:rPr>
            </w:pPr>
          </w:p>
        </w:tc>
        <w:tc>
          <w:tcPr>
            <w:tcW w:w="705" w:type="pct"/>
            <w:vMerge w:val="continue"/>
            <w:shd w:val="clear" w:color="auto" w:fill="auto"/>
            <w:noWrap w:val="0"/>
            <w:vAlign w:val="center"/>
          </w:tcPr>
          <w:p w14:paraId="534E5095">
            <w:pPr>
              <w:widowControl/>
              <w:jc w:val="center"/>
              <w:rPr>
                <w:rFonts w:ascii="宋体" w:hAnsi="宋体" w:eastAsia="宋体" w:cs="宋体"/>
                <w:color w:val="000000"/>
                <w:spacing w:val="-10"/>
                <w:kern w:val="0"/>
                <w:sz w:val="22"/>
                <w:szCs w:val="22"/>
                <w:lang w:val="en-US" w:eastAsia="zh-CN" w:bidi="ar-SA"/>
              </w:rPr>
            </w:pPr>
          </w:p>
        </w:tc>
        <w:tc>
          <w:tcPr>
            <w:tcW w:w="1498" w:type="pct"/>
            <w:shd w:val="clear" w:color="auto" w:fill="auto"/>
            <w:noWrap/>
            <w:vAlign w:val="center"/>
          </w:tcPr>
          <w:p w14:paraId="0976ED56">
            <w:pPr>
              <w:widowControl/>
              <w:jc w:val="left"/>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S51.出现中国科学院大学师德“一票否决制”否决清单任意一项</w:t>
            </w:r>
          </w:p>
        </w:tc>
        <w:tc>
          <w:tcPr>
            <w:tcW w:w="2147" w:type="pct"/>
            <w:shd w:val="clear" w:color="auto" w:fill="auto"/>
            <w:noWrap/>
            <w:vAlign w:val="center"/>
          </w:tcPr>
          <w:p w14:paraId="728D53ED">
            <w:pPr>
              <w:widowControl/>
              <w:jc w:val="center"/>
              <w:rPr>
                <w:rFonts w:ascii="宋体" w:hAnsi="宋体" w:eastAsia="宋体" w:cs="宋体"/>
                <w:color w:val="000000"/>
                <w:spacing w:val="-10"/>
                <w:kern w:val="0"/>
                <w:sz w:val="22"/>
                <w:szCs w:val="22"/>
                <w:lang w:val="en-US" w:eastAsia="zh-CN" w:bidi="ar-SA"/>
              </w:rPr>
            </w:pPr>
            <w:r>
              <w:rPr>
                <w:rFonts w:hint="eastAsia" w:ascii="宋体" w:hAnsi="宋体" w:eastAsia="宋体" w:cs="宋体"/>
                <w:color w:val="000000"/>
                <w:spacing w:val="-10"/>
                <w:kern w:val="0"/>
                <w:sz w:val="22"/>
                <w:szCs w:val="22"/>
                <w:lang w:val="en-US" w:eastAsia="zh-CN" w:bidi="ar-SA"/>
              </w:rPr>
              <w:t>当年年度考核为0分</w:t>
            </w:r>
          </w:p>
        </w:tc>
      </w:tr>
    </w:tbl>
    <w:p w14:paraId="140C7750">
      <w:pPr>
        <w:spacing w:line="600" w:lineRule="exact"/>
        <w:jc w:val="both"/>
        <w:rPr>
          <w:rFonts w:hint="eastAsia" w:ascii="黑体" w:hAnsi="黑体" w:eastAsia="黑体"/>
          <w:sz w:val="32"/>
          <w:szCs w:val="32"/>
          <w:lang w:val="en-US" w:eastAsia="zh-CN"/>
        </w:rPr>
      </w:pPr>
    </w:p>
    <w:p w14:paraId="3F87F89E">
      <w:pPr>
        <w:spacing w:line="600" w:lineRule="exact"/>
        <w:jc w:val="both"/>
        <w:rPr>
          <w:rFonts w:ascii="黑体" w:hAnsi="黑体" w:eastAsia="黑体"/>
          <w:sz w:val="32"/>
          <w:szCs w:val="32"/>
          <w:lang w:val="en-US" w:eastAsia="zh-CN"/>
        </w:rPr>
      </w:pPr>
      <w:r>
        <w:rPr>
          <w:rFonts w:hint="eastAsia" w:ascii="黑体" w:hAnsi="黑体" w:eastAsia="黑体"/>
          <w:sz w:val="32"/>
          <w:szCs w:val="32"/>
          <w:lang w:val="en-US" w:eastAsia="zh-CN"/>
        </w:rPr>
        <w:t>附件2</w:t>
      </w:r>
    </w:p>
    <w:p w14:paraId="41E53781">
      <w:pPr>
        <w:spacing w:line="600" w:lineRule="exact"/>
        <w:jc w:val="both"/>
        <w:rPr>
          <w:rFonts w:ascii="仿宋_GB2312" w:eastAsia="仿宋_GB2312"/>
          <w:sz w:val="32"/>
          <w:szCs w:val="32"/>
          <w:lang w:val="en-US" w:eastAsia="zh-CN"/>
        </w:rPr>
      </w:pPr>
    </w:p>
    <w:p w14:paraId="3CED799D">
      <w:pPr>
        <w:spacing w:line="60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长春光机所导师岗位考核评议指标体系考核结果计算方法</w:t>
      </w:r>
    </w:p>
    <w:p w14:paraId="14DE918E">
      <w:pPr>
        <w:spacing w:line="600" w:lineRule="exact"/>
        <w:jc w:val="both"/>
        <w:rPr>
          <w:rFonts w:ascii="仿宋_GB2312" w:eastAsia="仿宋_GB2312"/>
          <w:sz w:val="32"/>
          <w:szCs w:val="32"/>
          <w:lang w:val="en-US" w:eastAsia="zh-CN"/>
        </w:rPr>
      </w:pP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1100"/>
        <w:gridCol w:w="743"/>
        <w:gridCol w:w="783"/>
        <w:gridCol w:w="787"/>
        <w:gridCol w:w="787"/>
        <w:gridCol w:w="688"/>
        <w:gridCol w:w="718"/>
        <w:gridCol w:w="668"/>
        <w:gridCol w:w="676"/>
        <w:gridCol w:w="668"/>
        <w:gridCol w:w="685"/>
        <w:gridCol w:w="30"/>
        <w:gridCol w:w="648"/>
        <w:gridCol w:w="68"/>
        <w:gridCol w:w="688"/>
        <w:gridCol w:w="28"/>
        <w:gridCol w:w="645"/>
        <w:gridCol w:w="70"/>
        <w:gridCol w:w="718"/>
        <w:gridCol w:w="748"/>
        <w:gridCol w:w="210"/>
        <w:gridCol w:w="513"/>
        <w:gridCol w:w="448"/>
        <w:gridCol w:w="256"/>
        <w:gridCol w:w="713"/>
      </w:tblGrid>
      <w:tr w14:paraId="1179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top w:val="single" w:color="auto" w:sz="0" w:space="0"/>
              <w:left w:val="single" w:color="auto" w:sz="0" w:space="0"/>
              <w:bottom w:val="single" w:color="auto" w:sz="0" w:space="0"/>
              <w:right w:val="single" w:color="auto" w:sz="0" w:space="0"/>
            </w:tcBorders>
            <w:shd w:val="clear" w:color="auto" w:fill="auto"/>
            <w:noWrap/>
            <w:vAlign w:val="center"/>
          </w:tcPr>
          <w:p w14:paraId="74D21D77">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一级指标</w:t>
            </w:r>
          </w:p>
        </w:tc>
        <w:tc>
          <w:tcPr>
            <w:tcW w:w="4610" w:type="pct"/>
            <w:gridSpan w:val="24"/>
            <w:tcBorders>
              <w:top w:val="single" w:color="auto" w:sz="0" w:space="0"/>
              <w:bottom w:val="single" w:color="auto" w:sz="0" w:space="0"/>
              <w:right w:val="single" w:color="auto" w:sz="0" w:space="0"/>
            </w:tcBorders>
            <w:shd w:val="clear" w:color="auto" w:fill="auto"/>
            <w:noWrap/>
            <w:vAlign w:val="center"/>
          </w:tcPr>
          <w:p w14:paraId="20DD589F">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A</w:t>
            </w:r>
          </w:p>
        </w:tc>
      </w:tr>
      <w:tr w14:paraId="053A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6ABDC9F8">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一级指标分数</w:t>
            </w:r>
          </w:p>
        </w:tc>
        <w:tc>
          <w:tcPr>
            <w:tcW w:w="4610" w:type="pct"/>
            <w:gridSpan w:val="24"/>
            <w:tcBorders>
              <w:top w:val="single" w:color="auto" w:sz="0" w:space="0"/>
              <w:bottom w:val="single" w:color="auto" w:sz="0" w:space="0"/>
              <w:right w:val="single" w:color="auto" w:sz="0" w:space="0"/>
            </w:tcBorders>
            <w:shd w:val="clear" w:color="auto" w:fill="auto"/>
            <w:noWrap/>
            <w:vAlign w:val="center"/>
          </w:tcPr>
          <w:p w14:paraId="557DD934">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4</w:t>
            </w:r>
            <w:r>
              <w:rPr>
                <w:rFonts w:ascii="Calibri" w:hAnsi="Calibri" w:eastAsia="宋体" w:cs="Calibri"/>
                <w:color w:val="000000"/>
                <w:spacing w:val="-10"/>
                <w:kern w:val="0"/>
                <w:sz w:val="21"/>
                <w:szCs w:val="21"/>
                <w:lang w:val="en-US" w:eastAsia="zh-CN" w:bidi="ar-SA"/>
              </w:rPr>
              <w:t>0</w:t>
            </w:r>
            <w:r>
              <w:rPr>
                <w:rFonts w:hint="eastAsia" w:ascii="宋体" w:hAnsi="宋体" w:eastAsia="宋体" w:cs="Calibri"/>
                <w:color w:val="000000"/>
                <w:spacing w:val="-10"/>
                <w:kern w:val="0"/>
                <w:sz w:val="21"/>
                <w:szCs w:val="21"/>
                <w:lang w:val="en-US" w:eastAsia="zh-CN" w:bidi="ar-SA"/>
              </w:rPr>
              <w:t>分</w:t>
            </w:r>
          </w:p>
        </w:tc>
      </w:tr>
      <w:tr w14:paraId="57A7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4D656CA8">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w:t>
            </w:r>
          </w:p>
        </w:tc>
        <w:tc>
          <w:tcPr>
            <w:tcW w:w="1344" w:type="pct"/>
            <w:gridSpan w:val="5"/>
            <w:tcBorders>
              <w:top w:val="single" w:color="auto" w:sz="0" w:space="0"/>
              <w:bottom w:val="single" w:color="auto" w:sz="0" w:space="0"/>
              <w:right w:val="single" w:color="auto" w:sz="0" w:space="0"/>
            </w:tcBorders>
            <w:shd w:val="clear" w:color="auto" w:fill="auto"/>
            <w:noWrap/>
            <w:vAlign w:val="center"/>
          </w:tcPr>
          <w:p w14:paraId="7F2FA1E1">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A1</w:t>
            </w:r>
          </w:p>
        </w:tc>
        <w:tc>
          <w:tcPr>
            <w:tcW w:w="732" w:type="pct"/>
            <w:gridSpan w:val="3"/>
            <w:tcBorders>
              <w:top w:val="single" w:color="auto" w:sz="0" w:space="0"/>
              <w:bottom w:val="single" w:color="auto" w:sz="0" w:space="0"/>
              <w:right w:val="single" w:color="auto" w:sz="0" w:space="0"/>
            </w:tcBorders>
            <w:shd w:val="clear" w:color="auto" w:fill="auto"/>
            <w:noWrap/>
            <w:vAlign w:val="center"/>
          </w:tcPr>
          <w:p w14:paraId="50F90721">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A2</w:t>
            </w:r>
          </w:p>
        </w:tc>
        <w:tc>
          <w:tcPr>
            <w:tcW w:w="1228" w:type="pct"/>
            <w:gridSpan w:val="8"/>
            <w:tcBorders>
              <w:top w:val="single" w:color="auto" w:sz="0" w:space="0"/>
              <w:bottom w:val="single" w:color="auto" w:sz="0" w:space="0"/>
              <w:right w:val="single" w:color="auto" w:sz="0" w:space="0"/>
            </w:tcBorders>
            <w:shd w:val="clear" w:color="auto" w:fill="auto"/>
            <w:noWrap/>
            <w:vAlign w:val="center"/>
          </w:tcPr>
          <w:p w14:paraId="454A7974">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A3</w:t>
            </w:r>
          </w:p>
        </w:tc>
        <w:tc>
          <w:tcPr>
            <w:tcW w:w="1305" w:type="pct"/>
            <w:gridSpan w:val="8"/>
            <w:tcBorders>
              <w:top w:val="single" w:color="auto" w:sz="0" w:space="0"/>
              <w:bottom w:val="single" w:color="auto" w:sz="0" w:space="0"/>
              <w:right w:val="single" w:color="auto" w:sz="0" w:space="0"/>
            </w:tcBorders>
            <w:shd w:val="clear" w:color="auto" w:fill="auto"/>
            <w:noWrap/>
            <w:vAlign w:val="center"/>
          </w:tcPr>
          <w:p w14:paraId="4102ABCD">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A4</w:t>
            </w:r>
          </w:p>
        </w:tc>
      </w:tr>
      <w:tr w14:paraId="5A57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51C2B3BF">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二级指标分数</w:t>
            </w:r>
          </w:p>
        </w:tc>
        <w:tc>
          <w:tcPr>
            <w:tcW w:w="1344" w:type="pct"/>
            <w:gridSpan w:val="5"/>
            <w:tcBorders>
              <w:top w:val="single" w:color="auto" w:sz="0" w:space="0"/>
              <w:bottom w:val="single" w:color="auto" w:sz="0" w:space="0"/>
              <w:right w:val="single" w:color="auto" w:sz="0" w:space="0"/>
            </w:tcBorders>
            <w:shd w:val="clear" w:color="auto" w:fill="auto"/>
            <w:noWrap/>
            <w:vAlign w:val="center"/>
          </w:tcPr>
          <w:p w14:paraId="4A1274D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20分</w:t>
            </w:r>
          </w:p>
        </w:tc>
        <w:tc>
          <w:tcPr>
            <w:tcW w:w="732" w:type="pct"/>
            <w:gridSpan w:val="3"/>
            <w:tcBorders>
              <w:top w:val="single" w:color="auto" w:sz="0" w:space="0"/>
              <w:bottom w:val="single" w:color="auto" w:sz="0" w:space="0"/>
              <w:right w:val="single" w:color="auto" w:sz="0" w:space="0"/>
            </w:tcBorders>
            <w:shd w:val="clear" w:color="auto" w:fill="auto"/>
            <w:noWrap/>
            <w:vAlign w:val="center"/>
          </w:tcPr>
          <w:p w14:paraId="1AECE9E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p>
        </w:tc>
        <w:tc>
          <w:tcPr>
            <w:tcW w:w="1228" w:type="pct"/>
            <w:gridSpan w:val="8"/>
            <w:tcBorders>
              <w:top w:val="single" w:color="auto" w:sz="0" w:space="0"/>
              <w:bottom w:val="single" w:color="auto" w:sz="0" w:space="0"/>
              <w:right w:val="single" w:color="auto" w:sz="0" w:space="0"/>
            </w:tcBorders>
            <w:shd w:val="clear" w:color="auto" w:fill="auto"/>
            <w:noWrap/>
            <w:vAlign w:val="center"/>
          </w:tcPr>
          <w:p w14:paraId="28EB872C">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p>
        </w:tc>
        <w:tc>
          <w:tcPr>
            <w:tcW w:w="1305" w:type="pct"/>
            <w:gridSpan w:val="8"/>
            <w:tcBorders>
              <w:top w:val="single" w:color="auto" w:sz="0" w:space="0"/>
              <w:bottom w:val="single" w:color="auto" w:sz="0" w:space="0"/>
              <w:right w:val="single" w:color="auto" w:sz="0" w:space="0"/>
            </w:tcBorders>
            <w:shd w:val="clear" w:color="auto" w:fill="auto"/>
            <w:noWrap/>
            <w:vAlign w:val="center"/>
          </w:tcPr>
          <w:p w14:paraId="75CAFF9D">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10分</w:t>
            </w:r>
          </w:p>
        </w:tc>
      </w:tr>
      <w:tr w14:paraId="73CA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70184344">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二级指标赋分分数</w:t>
            </w:r>
          </w:p>
        </w:tc>
        <w:tc>
          <w:tcPr>
            <w:tcW w:w="264" w:type="pct"/>
            <w:tcBorders>
              <w:bottom w:val="single" w:color="auto" w:sz="0" w:space="0"/>
              <w:right w:val="single" w:color="auto" w:sz="0" w:space="0"/>
            </w:tcBorders>
            <w:shd w:val="clear" w:color="auto" w:fill="auto"/>
            <w:noWrap/>
            <w:vAlign w:val="center"/>
          </w:tcPr>
          <w:p w14:paraId="1262CB4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20分</w:t>
            </w:r>
          </w:p>
        </w:tc>
        <w:tc>
          <w:tcPr>
            <w:tcW w:w="278" w:type="pct"/>
            <w:tcBorders>
              <w:bottom w:val="single" w:color="auto" w:sz="0" w:space="0"/>
              <w:right w:val="single" w:color="auto" w:sz="0" w:space="0"/>
            </w:tcBorders>
            <w:shd w:val="clear" w:color="auto" w:fill="auto"/>
            <w:noWrap/>
            <w:vAlign w:val="center"/>
          </w:tcPr>
          <w:p w14:paraId="6F2D3C8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w:t>
            </w:r>
            <w:r>
              <w:rPr>
                <w:rFonts w:hint="eastAsia"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p>
        </w:tc>
        <w:tc>
          <w:tcPr>
            <w:tcW w:w="279" w:type="pct"/>
            <w:tcBorders>
              <w:bottom w:val="single" w:color="auto" w:sz="0" w:space="0"/>
              <w:right w:val="single" w:color="auto" w:sz="0" w:space="0"/>
            </w:tcBorders>
            <w:shd w:val="clear" w:color="auto" w:fill="auto"/>
            <w:noWrap/>
            <w:vAlign w:val="center"/>
          </w:tcPr>
          <w:p w14:paraId="471E33BC">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10分</w:t>
            </w:r>
          </w:p>
        </w:tc>
        <w:tc>
          <w:tcPr>
            <w:tcW w:w="279" w:type="pct"/>
            <w:tcBorders>
              <w:bottom w:val="single" w:color="auto" w:sz="0" w:space="0"/>
              <w:right w:val="single" w:color="auto" w:sz="0" w:space="0"/>
            </w:tcBorders>
            <w:shd w:val="clear" w:color="auto" w:fill="auto"/>
            <w:noWrap/>
            <w:vAlign w:val="center"/>
          </w:tcPr>
          <w:p w14:paraId="2057B4C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5 </w:t>
            </w:r>
            <w:r>
              <w:rPr>
                <w:rFonts w:hint="eastAsia" w:ascii="宋体" w:hAnsi="宋体" w:eastAsia="宋体" w:cs="Calibri"/>
                <w:color w:val="000000"/>
                <w:spacing w:val="-10"/>
                <w:kern w:val="0"/>
                <w:sz w:val="21"/>
                <w:szCs w:val="21"/>
                <w:lang w:val="en-US" w:eastAsia="zh-CN" w:bidi="ar-SA"/>
              </w:rPr>
              <w:t>分</w:t>
            </w:r>
          </w:p>
        </w:tc>
        <w:tc>
          <w:tcPr>
            <w:tcW w:w="244" w:type="pct"/>
            <w:tcBorders>
              <w:bottom w:val="single" w:color="auto" w:sz="0" w:space="0"/>
              <w:right w:val="single" w:color="auto" w:sz="0" w:space="0"/>
            </w:tcBorders>
            <w:shd w:val="clear" w:color="auto" w:fill="auto"/>
            <w:noWrap/>
            <w:vAlign w:val="center"/>
          </w:tcPr>
          <w:p w14:paraId="13751BEC">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1 </w:t>
            </w:r>
            <w:r>
              <w:rPr>
                <w:rFonts w:hint="eastAsia" w:ascii="宋体" w:hAnsi="宋体" w:eastAsia="宋体" w:cs="Calibri"/>
                <w:color w:val="000000"/>
                <w:spacing w:val="-10"/>
                <w:kern w:val="0"/>
                <w:sz w:val="21"/>
                <w:szCs w:val="21"/>
                <w:lang w:val="en-US" w:eastAsia="zh-CN" w:bidi="ar-SA"/>
              </w:rPr>
              <w:t>分</w:t>
            </w:r>
          </w:p>
        </w:tc>
        <w:tc>
          <w:tcPr>
            <w:tcW w:w="255" w:type="pct"/>
            <w:tcBorders>
              <w:bottom w:val="single" w:color="auto" w:sz="0" w:space="0"/>
              <w:right w:val="single" w:color="auto" w:sz="0" w:space="0"/>
            </w:tcBorders>
            <w:shd w:val="clear" w:color="auto" w:fill="auto"/>
            <w:noWrap/>
            <w:vAlign w:val="center"/>
          </w:tcPr>
          <w:p w14:paraId="1F4E80E9">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5 </w:t>
            </w:r>
            <w:r>
              <w:rPr>
                <w:rFonts w:hint="eastAsia" w:ascii="宋体" w:hAnsi="宋体" w:eastAsia="宋体" w:cs="Calibri"/>
                <w:color w:val="000000"/>
                <w:spacing w:val="-10"/>
                <w:kern w:val="0"/>
                <w:sz w:val="21"/>
                <w:szCs w:val="21"/>
                <w:lang w:val="en-US" w:eastAsia="zh-CN" w:bidi="ar-SA"/>
              </w:rPr>
              <w:t>分</w:t>
            </w:r>
          </w:p>
        </w:tc>
        <w:tc>
          <w:tcPr>
            <w:tcW w:w="237" w:type="pct"/>
            <w:tcBorders>
              <w:bottom w:val="single" w:color="auto" w:sz="0" w:space="0"/>
              <w:right w:val="single" w:color="auto" w:sz="0" w:space="0"/>
            </w:tcBorders>
            <w:shd w:val="clear" w:color="auto" w:fill="auto"/>
            <w:noWrap/>
            <w:vAlign w:val="center"/>
          </w:tcPr>
          <w:p w14:paraId="1B287D2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4 </w:t>
            </w:r>
            <w:r>
              <w:rPr>
                <w:rFonts w:hint="eastAsia" w:ascii="Calibri" w:hAnsi="Calibri" w:eastAsia="宋体" w:cs="Calibri"/>
                <w:color w:val="000000"/>
                <w:spacing w:val="-10"/>
                <w:kern w:val="0"/>
                <w:sz w:val="21"/>
                <w:szCs w:val="21"/>
                <w:lang w:val="en-US" w:eastAsia="zh-CN" w:bidi="ar-SA"/>
              </w:rPr>
              <w:t>分</w:t>
            </w:r>
          </w:p>
        </w:tc>
        <w:tc>
          <w:tcPr>
            <w:tcW w:w="240" w:type="pct"/>
            <w:tcBorders>
              <w:bottom w:val="single" w:color="auto" w:sz="0" w:space="0"/>
              <w:right w:val="single" w:color="auto" w:sz="0" w:space="0"/>
            </w:tcBorders>
            <w:shd w:val="clear" w:color="auto" w:fill="auto"/>
            <w:noWrap/>
            <w:vAlign w:val="center"/>
          </w:tcPr>
          <w:p w14:paraId="15267748">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0 </w:t>
            </w:r>
            <w:r>
              <w:rPr>
                <w:rFonts w:hint="eastAsia" w:ascii="宋体" w:hAnsi="宋体" w:eastAsia="宋体" w:cs="Calibri"/>
                <w:color w:val="000000"/>
                <w:spacing w:val="-10"/>
                <w:kern w:val="0"/>
                <w:sz w:val="21"/>
                <w:szCs w:val="21"/>
                <w:lang w:val="en-US" w:eastAsia="zh-CN" w:bidi="ar-SA"/>
              </w:rPr>
              <w:t>分</w:t>
            </w:r>
          </w:p>
        </w:tc>
        <w:tc>
          <w:tcPr>
            <w:tcW w:w="237" w:type="pct"/>
            <w:tcBorders>
              <w:bottom w:val="single" w:color="auto" w:sz="0" w:space="0"/>
              <w:right w:val="single" w:color="auto" w:sz="0" w:space="0"/>
            </w:tcBorders>
            <w:shd w:val="clear" w:color="auto" w:fill="auto"/>
            <w:noWrap/>
            <w:vAlign w:val="center"/>
          </w:tcPr>
          <w:p w14:paraId="10BF086A">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5 </w:t>
            </w:r>
            <w:r>
              <w:rPr>
                <w:rFonts w:hint="eastAsia" w:ascii="宋体" w:hAnsi="宋体" w:eastAsia="宋体" w:cs="Calibri"/>
                <w:color w:val="000000"/>
                <w:spacing w:val="-10"/>
                <w:kern w:val="0"/>
                <w:sz w:val="21"/>
                <w:szCs w:val="21"/>
                <w:lang w:val="en-US" w:eastAsia="zh-CN" w:bidi="ar-SA"/>
              </w:rPr>
              <w:t>分</w:t>
            </w:r>
          </w:p>
        </w:tc>
        <w:tc>
          <w:tcPr>
            <w:tcW w:w="243" w:type="pct"/>
            <w:tcBorders>
              <w:bottom w:val="single" w:color="auto" w:sz="0" w:space="0"/>
              <w:right w:val="single" w:color="auto" w:sz="0" w:space="0"/>
            </w:tcBorders>
            <w:shd w:val="clear" w:color="auto" w:fill="auto"/>
            <w:noWrap/>
            <w:vAlign w:val="center"/>
          </w:tcPr>
          <w:p w14:paraId="648BA04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4 </w:t>
            </w:r>
            <w:r>
              <w:rPr>
                <w:rFonts w:hint="eastAsia" w:ascii="宋体" w:hAnsi="宋体" w:eastAsia="宋体" w:cs="Calibri"/>
                <w:color w:val="000000"/>
                <w:spacing w:val="-10"/>
                <w:kern w:val="0"/>
                <w:sz w:val="21"/>
                <w:szCs w:val="21"/>
                <w:lang w:val="en-US" w:eastAsia="zh-CN" w:bidi="ar-SA"/>
              </w:rPr>
              <w:t>分</w:t>
            </w:r>
          </w:p>
        </w:tc>
        <w:tc>
          <w:tcPr>
            <w:tcW w:w="241" w:type="pct"/>
            <w:gridSpan w:val="2"/>
            <w:tcBorders>
              <w:bottom w:val="single" w:color="auto" w:sz="0" w:space="0"/>
              <w:right w:val="single" w:color="auto" w:sz="0" w:space="0"/>
            </w:tcBorders>
            <w:shd w:val="clear" w:color="auto" w:fill="auto"/>
            <w:noWrap/>
            <w:vAlign w:val="center"/>
          </w:tcPr>
          <w:p w14:paraId="61EA0634">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3 </w:t>
            </w:r>
            <w:r>
              <w:rPr>
                <w:rFonts w:hint="eastAsia" w:ascii="宋体" w:hAnsi="宋体" w:eastAsia="宋体" w:cs="Calibri"/>
                <w:color w:val="000000"/>
                <w:spacing w:val="-10"/>
                <w:kern w:val="0"/>
                <w:sz w:val="21"/>
                <w:szCs w:val="21"/>
                <w:lang w:val="en-US" w:eastAsia="zh-CN" w:bidi="ar-SA"/>
              </w:rPr>
              <w:t>分</w:t>
            </w:r>
          </w:p>
        </w:tc>
        <w:tc>
          <w:tcPr>
            <w:tcW w:w="268" w:type="pct"/>
            <w:gridSpan w:val="2"/>
            <w:tcBorders>
              <w:bottom w:val="single" w:color="auto" w:sz="0" w:space="0"/>
              <w:right w:val="single" w:color="auto" w:sz="0" w:space="0"/>
            </w:tcBorders>
            <w:shd w:val="clear" w:color="auto" w:fill="auto"/>
            <w:noWrap/>
            <w:vAlign w:val="center"/>
          </w:tcPr>
          <w:p w14:paraId="348CC6C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2 </w:t>
            </w:r>
            <w:r>
              <w:rPr>
                <w:rFonts w:hint="eastAsia" w:ascii="宋体" w:hAnsi="宋体" w:eastAsia="宋体" w:cs="Calibri"/>
                <w:color w:val="000000"/>
                <w:spacing w:val="-10"/>
                <w:kern w:val="0"/>
                <w:sz w:val="21"/>
                <w:szCs w:val="21"/>
                <w:lang w:val="en-US" w:eastAsia="zh-CN" w:bidi="ar-SA"/>
              </w:rPr>
              <w:t>分</w:t>
            </w:r>
          </w:p>
        </w:tc>
        <w:tc>
          <w:tcPr>
            <w:tcW w:w="239" w:type="pct"/>
            <w:gridSpan w:val="2"/>
            <w:tcBorders>
              <w:bottom w:val="single" w:color="auto" w:sz="0" w:space="0"/>
              <w:right w:val="single" w:color="auto" w:sz="0" w:space="0"/>
            </w:tcBorders>
            <w:shd w:val="clear" w:color="auto" w:fill="auto"/>
            <w:noWrap/>
            <w:vAlign w:val="center"/>
          </w:tcPr>
          <w:p w14:paraId="61DDF1D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1 </w:t>
            </w:r>
            <w:r>
              <w:rPr>
                <w:rFonts w:hint="eastAsia" w:ascii="宋体" w:hAnsi="宋体" w:eastAsia="宋体" w:cs="Calibri"/>
                <w:color w:val="000000"/>
                <w:spacing w:val="-10"/>
                <w:kern w:val="0"/>
                <w:sz w:val="21"/>
                <w:szCs w:val="21"/>
                <w:lang w:val="en-US" w:eastAsia="zh-CN" w:bidi="ar-SA"/>
              </w:rPr>
              <w:t>分</w:t>
            </w:r>
          </w:p>
        </w:tc>
        <w:tc>
          <w:tcPr>
            <w:tcW w:w="280" w:type="pct"/>
            <w:gridSpan w:val="2"/>
            <w:tcBorders>
              <w:bottom w:val="single" w:color="auto" w:sz="0" w:space="0"/>
              <w:right w:val="single" w:color="auto" w:sz="0" w:space="0"/>
            </w:tcBorders>
            <w:shd w:val="clear" w:color="auto" w:fill="auto"/>
            <w:noWrap/>
            <w:vAlign w:val="center"/>
          </w:tcPr>
          <w:p w14:paraId="7C51FB4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10分</w:t>
            </w:r>
          </w:p>
        </w:tc>
        <w:tc>
          <w:tcPr>
            <w:tcW w:w="266" w:type="pct"/>
            <w:tcBorders>
              <w:bottom w:val="single" w:color="auto" w:sz="0" w:space="0"/>
              <w:right w:val="single" w:color="auto" w:sz="0" w:space="0"/>
            </w:tcBorders>
            <w:shd w:val="clear" w:color="auto" w:fill="auto"/>
            <w:noWrap/>
            <w:vAlign w:val="center"/>
          </w:tcPr>
          <w:p w14:paraId="5CCFB274">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8分</w:t>
            </w:r>
          </w:p>
        </w:tc>
        <w:tc>
          <w:tcPr>
            <w:tcW w:w="257" w:type="pct"/>
            <w:gridSpan w:val="2"/>
            <w:tcBorders>
              <w:bottom w:val="single" w:color="auto" w:sz="0" w:space="0"/>
              <w:right w:val="single" w:color="auto" w:sz="0" w:space="0"/>
            </w:tcBorders>
            <w:shd w:val="clear" w:color="auto" w:fill="auto"/>
            <w:noWrap/>
            <w:vAlign w:val="center"/>
          </w:tcPr>
          <w:p w14:paraId="3D12435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6</w:t>
            </w:r>
            <w:r>
              <w:rPr>
                <w:rFonts w:ascii="Calibri" w:hAnsi="Calibri" w:eastAsia="宋体" w:cs="Calibri"/>
                <w:color w:val="000000"/>
                <w:spacing w:val="-10"/>
                <w:kern w:val="0"/>
                <w:sz w:val="21"/>
                <w:szCs w:val="21"/>
                <w:lang w:val="en-US" w:eastAsia="zh-CN" w:bidi="ar-SA"/>
              </w:rPr>
              <w:t xml:space="preserve"> </w:t>
            </w:r>
            <w:r>
              <w:rPr>
                <w:rFonts w:hint="eastAsia" w:ascii="宋体" w:hAnsi="宋体" w:eastAsia="宋体" w:cs="Calibri"/>
                <w:color w:val="000000"/>
                <w:spacing w:val="-10"/>
                <w:kern w:val="0"/>
                <w:sz w:val="21"/>
                <w:szCs w:val="21"/>
                <w:lang w:val="en-US" w:eastAsia="zh-CN" w:bidi="ar-SA"/>
              </w:rPr>
              <w:t>分</w:t>
            </w:r>
          </w:p>
        </w:tc>
        <w:tc>
          <w:tcPr>
            <w:tcW w:w="250" w:type="pct"/>
            <w:gridSpan w:val="2"/>
            <w:tcBorders>
              <w:bottom w:val="single" w:color="auto" w:sz="0" w:space="0"/>
              <w:right w:val="single" w:color="auto" w:sz="0" w:space="0"/>
            </w:tcBorders>
            <w:shd w:val="clear" w:color="auto" w:fill="auto"/>
            <w:noWrap/>
            <w:vAlign w:val="center"/>
          </w:tcPr>
          <w:p w14:paraId="7F78F29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4</w:t>
            </w:r>
            <w:r>
              <w:rPr>
                <w:rFonts w:ascii="Calibri" w:hAnsi="Calibri" w:eastAsia="宋体" w:cs="Calibri"/>
                <w:color w:val="000000"/>
                <w:spacing w:val="-10"/>
                <w:kern w:val="0"/>
                <w:sz w:val="21"/>
                <w:szCs w:val="21"/>
                <w:lang w:val="en-US" w:eastAsia="zh-CN" w:bidi="ar-SA"/>
              </w:rPr>
              <w:t xml:space="preserve"> </w:t>
            </w:r>
            <w:r>
              <w:rPr>
                <w:rFonts w:hint="eastAsia" w:ascii="宋体" w:hAnsi="宋体" w:eastAsia="宋体" w:cs="Calibri"/>
                <w:color w:val="000000"/>
                <w:spacing w:val="-10"/>
                <w:kern w:val="0"/>
                <w:sz w:val="21"/>
                <w:szCs w:val="21"/>
                <w:lang w:val="en-US" w:eastAsia="zh-CN" w:bidi="ar-SA"/>
              </w:rPr>
              <w:t>分</w:t>
            </w:r>
          </w:p>
        </w:tc>
        <w:tc>
          <w:tcPr>
            <w:tcW w:w="253" w:type="pct"/>
            <w:tcBorders>
              <w:bottom w:val="single" w:color="auto" w:sz="0" w:space="0"/>
              <w:right w:val="single" w:color="auto" w:sz="0" w:space="0"/>
            </w:tcBorders>
            <w:shd w:val="clear" w:color="auto" w:fill="auto"/>
            <w:noWrap/>
            <w:vAlign w:val="center"/>
          </w:tcPr>
          <w:p w14:paraId="67C8C1B8">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2分</w:t>
            </w:r>
          </w:p>
        </w:tc>
      </w:tr>
      <w:tr w14:paraId="6DA1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09" w:hRule="atLeast"/>
          <w:jc w:val="center"/>
        </w:trPr>
        <w:tc>
          <w:tcPr>
            <w:tcW w:w="390" w:type="pct"/>
            <w:vMerge w:val="restart"/>
            <w:tcBorders>
              <w:left w:val="single" w:color="auto" w:sz="0" w:space="0"/>
              <w:bottom w:val="single" w:color="auto" w:sz="0" w:space="0"/>
              <w:right w:val="single" w:color="auto" w:sz="0" w:space="0"/>
            </w:tcBorders>
            <w:shd w:val="clear" w:color="auto" w:fill="auto"/>
            <w:noWrap/>
            <w:vAlign w:val="center"/>
          </w:tcPr>
          <w:p w14:paraId="76AD004E">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二级指标赋分比例</w:t>
            </w:r>
          </w:p>
        </w:tc>
        <w:tc>
          <w:tcPr>
            <w:tcW w:w="264" w:type="pct"/>
            <w:vMerge w:val="restart"/>
            <w:tcBorders>
              <w:left w:val="single" w:color="auto" w:sz="0" w:space="0"/>
              <w:bottom w:val="single" w:color="auto" w:sz="0" w:space="0"/>
              <w:right w:val="single" w:color="auto" w:sz="0" w:space="0"/>
            </w:tcBorders>
            <w:shd w:val="clear" w:color="auto" w:fill="auto"/>
            <w:noWrap/>
            <w:vAlign w:val="center"/>
          </w:tcPr>
          <w:p w14:paraId="7D01D148">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前15%</w:t>
            </w:r>
          </w:p>
        </w:tc>
        <w:tc>
          <w:tcPr>
            <w:tcW w:w="278" w:type="pct"/>
            <w:vMerge w:val="restart"/>
            <w:tcBorders>
              <w:left w:val="single" w:color="auto" w:sz="0" w:space="0"/>
              <w:bottom w:val="single" w:color="auto" w:sz="0" w:space="0"/>
              <w:right w:val="single" w:color="auto" w:sz="0" w:space="0"/>
            </w:tcBorders>
            <w:shd w:val="clear" w:color="auto" w:fill="auto"/>
            <w:noWrap/>
            <w:vAlign w:val="center"/>
          </w:tcPr>
          <w:p w14:paraId="50F199D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排名16-</w:t>
            </w:r>
            <w:r>
              <w:rPr>
                <w:rFonts w:ascii="Calibri" w:hAnsi="Calibri" w:eastAsia="宋体" w:cs="Calibri"/>
                <w:color w:val="000000"/>
                <w:spacing w:val="-10"/>
                <w:kern w:val="0"/>
                <w:sz w:val="21"/>
                <w:szCs w:val="21"/>
                <w:lang w:val="en-US" w:eastAsia="zh-CN" w:bidi="ar-SA"/>
              </w:rPr>
              <w:t>50%</w:t>
            </w:r>
          </w:p>
        </w:tc>
        <w:tc>
          <w:tcPr>
            <w:tcW w:w="279" w:type="pct"/>
            <w:vMerge w:val="restart"/>
            <w:tcBorders>
              <w:left w:val="single" w:color="auto" w:sz="0" w:space="0"/>
              <w:bottom w:val="single" w:color="auto" w:sz="0" w:space="0"/>
              <w:right w:val="single" w:color="auto" w:sz="0" w:space="0"/>
            </w:tcBorders>
            <w:shd w:val="clear" w:color="auto" w:fill="auto"/>
            <w:noWrap/>
            <w:vAlign w:val="center"/>
          </w:tcPr>
          <w:p w14:paraId="623ADD2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排名51-</w:t>
            </w:r>
            <w:r>
              <w:rPr>
                <w:rFonts w:ascii="Calibri" w:hAnsi="Calibri" w:eastAsia="宋体" w:cs="Calibri"/>
                <w:color w:val="000000"/>
                <w:spacing w:val="-10"/>
                <w:kern w:val="0"/>
                <w:sz w:val="21"/>
                <w:szCs w:val="21"/>
                <w:lang w:val="en-US" w:eastAsia="zh-CN" w:bidi="ar-SA"/>
              </w:rPr>
              <w:t>75%</w:t>
            </w:r>
          </w:p>
        </w:tc>
        <w:tc>
          <w:tcPr>
            <w:tcW w:w="279" w:type="pct"/>
            <w:vMerge w:val="restart"/>
            <w:tcBorders>
              <w:left w:val="single" w:color="auto" w:sz="0" w:space="0"/>
              <w:bottom w:val="single" w:color="auto" w:sz="0" w:space="0"/>
              <w:right w:val="single" w:color="auto" w:sz="0" w:space="0"/>
            </w:tcBorders>
            <w:shd w:val="clear" w:color="auto" w:fill="auto"/>
            <w:noWrap/>
            <w:vAlign w:val="center"/>
          </w:tcPr>
          <w:p w14:paraId="0D3E435A">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排名76-</w:t>
            </w:r>
            <w:r>
              <w:rPr>
                <w:rFonts w:ascii="Calibri" w:hAnsi="Calibri" w:eastAsia="宋体" w:cs="Calibri"/>
                <w:color w:val="000000"/>
                <w:spacing w:val="-10"/>
                <w:kern w:val="0"/>
                <w:sz w:val="21"/>
                <w:szCs w:val="21"/>
                <w:lang w:val="en-US" w:eastAsia="zh-CN" w:bidi="ar-SA"/>
              </w:rPr>
              <w:t>95%</w:t>
            </w:r>
          </w:p>
        </w:tc>
        <w:tc>
          <w:tcPr>
            <w:tcW w:w="244" w:type="pct"/>
            <w:vMerge w:val="restart"/>
            <w:tcBorders>
              <w:left w:val="single" w:color="auto" w:sz="0" w:space="0"/>
              <w:bottom w:val="single" w:color="auto" w:sz="0" w:space="0"/>
              <w:right w:val="single" w:color="auto" w:sz="0" w:space="0"/>
            </w:tcBorders>
            <w:shd w:val="clear" w:color="auto" w:fill="auto"/>
            <w:noWrap/>
            <w:vAlign w:val="center"/>
          </w:tcPr>
          <w:p w14:paraId="78528514">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后5%</w:t>
            </w:r>
          </w:p>
        </w:tc>
        <w:tc>
          <w:tcPr>
            <w:tcW w:w="255" w:type="pct"/>
            <w:vMerge w:val="restart"/>
            <w:tcBorders>
              <w:left w:val="single" w:color="auto" w:sz="0" w:space="0"/>
              <w:bottom w:val="single" w:color="auto" w:sz="0" w:space="0"/>
              <w:right w:val="single" w:color="auto" w:sz="0" w:space="0"/>
            </w:tcBorders>
            <w:shd w:val="clear" w:color="auto" w:fill="auto"/>
            <w:noWrap/>
            <w:vAlign w:val="center"/>
          </w:tcPr>
          <w:p w14:paraId="1C15D3B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15</w:t>
            </w:r>
            <w:r>
              <w:rPr>
                <w:rFonts w:hint="eastAsia" w:ascii="宋体" w:hAnsi="宋体" w:eastAsia="宋体" w:cs="Calibri"/>
                <w:color w:val="000000"/>
                <w:spacing w:val="-10"/>
                <w:kern w:val="0"/>
                <w:sz w:val="21"/>
                <w:szCs w:val="21"/>
                <w:lang w:val="en-US" w:eastAsia="zh-CN" w:bidi="ar-SA"/>
              </w:rPr>
              <w:t>分以上赋</w:t>
            </w:r>
            <w:r>
              <w:rPr>
                <w:rFonts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p>
        </w:tc>
        <w:tc>
          <w:tcPr>
            <w:tcW w:w="237" w:type="pct"/>
            <w:vMerge w:val="restart"/>
            <w:tcBorders>
              <w:left w:val="single" w:color="auto" w:sz="0" w:space="0"/>
              <w:bottom w:val="single" w:color="auto" w:sz="0" w:space="0"/>
              <w:right w:val="single" w:color="auto" w:sz="0" w:space="0"/>
            </w:tcBorders>
            <w:shd w:val="clear" w:color="auto" w:fill="auto"/>
            <w:noWrap/>
            <w:vAlign w:val="center"/>
          </w:tcPr>
          <w:p w14:paraId="7D925B2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10</w:t>
            </w:r>
            <w:r>
              <w:rPr>
                <w:rFonts w:hint="eastAsia" w:ascii="Calibri" w:hAnsi="Calibri" w:eastAsia="宋体" w:cs="Calibri"/>
                <w:color w:val="000000"/>
                <w:spacing w:val="-10"/>
                <w:kern w:val="0"/>
                <w:sz w:val="21"/>
                <w:szCs w:val="21"/>
                <w:lang w:val="en-US" w:eastAsia="zh-CN" w:bidi="ar-SA"/>
              </w:rPr>
              <w:t>分以上赋</w:t>
            </w:r>
            <w:r>
              <w:rPr>
                <w:rFonts w:ascii="Calibri" w:hAnsi="Calibri" w:eastAsia="宋体" w:cs="Calibri"/>
                <w:color w:val="000000"/>
                <w:spacing w:val="-10"/>
                <w:kern w:val="0"/>
                <w:sz w:val="21"/>
                <w:szCs w:val="21"/>
                <w:lang w:val="en-US" w:eastAsia="zh-CN" w:bidi="ar-SA"/>
              </w:rPr>
              <w:t>4</w:t>
            </w:r>
            <w:r>
              <w:rPr>
                <w:rFonts w:hint="eastAsia" w:ascii="Calibri" w:hAnsi="Calibri" w:eastAsia="宋体" w:cs="Calibri"/>
                <w:color w:val="000000"/>
                <w:spacing w:val="-10"/>
                <w:kern w:val="0"/>
                <w:sz w:val="21"/>
                <w:szCs w:val="21"/>
                <w:lang w:val="en-US" w:eastAsia="zh-CN" w:bidi="ar-SA"/>
              </w:rPr>
              <w:t>分</w:t>
            </w:r>
          </w:p>
        </w:tc>
        <w:tc>
          <w:tcPr>
            <w:tcW w:w="240" w:type="pct"/>
            <w:vMerge w:val="restart"/>
            <w:tcBorders>
              <w:left w:val="single" w:color="auto" w:sz="0" w:space="0"/>
              <w:bottom w:val="single" w:color="auto" w:sz="0" w:space="0"/>
              <w:right w:val="single" w:color="auto" w:sz="0" w:space="0"/>
            </w:tcBorders>
            <w:shd w:val="clear" w:color="auto" w:fill="auto"/>
            <w:noWrap/>
            <w:vAlign w:val="center"/>
          </w:tcPr>
          <w:p w14:paraId="5509346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赋</w:t>
            </w:r>
            <w:r>
              <w:rPr>
                <w:rFonts w:ascii="Calibri" w:hAnsi="Calibri" w:eastAsia="宋体" w:cs="Calibri"/>
                <w:color w:val="000000"/>
                <w:spacing w:val="-10"/>
                <w:kern w:val="0"/>
                <w:sz w:val="21"/>
                <w:szCs w:val="21"/>
                <w:lang w:val="en-US" w:eastAsia="zh-CN" w:bidi="ar-SA"/>
              </w:rPr>
              <w:t>0</w:t>
            </w:r>
            <w:r>
              <w:rPr>
                <w:rFonts w:hint="eastAsia" w:ascii="宋体" w:hAnsi="宋体" w:eastAsia="宋体" w:cs="Calibri"/>
                <w:color w:val="000000"/>
                <w:spacing w:val="-10"/>
                <w:kern w:val="0"/>
                <w:sz w:val="21"/>
                <w:szCs w:val="21"/>
                <w:lang w:val="en-US" w:eastAsia="zh-CN" w:bidi="ar-SA"/>
              </w:rPr>
              <w:t>分</w:t>
            </w:r>
          </w:p>
        </w:tc>
        <w:tc>
          <w:tcPr>
            <w:tcW w:w="237" w:type="pct"/>
            <w:vMerge w:val="restart"/>
            <w:tcBorders>
              <w:left w:val="single" w:color="auto" w:sz="0" w:space="0"/>
              <w:bottom w:val="single" w:color="auto" w:sz="0" w:space="0"/>
              <w:right w:val="single" w:color="auto" w:sz="0" w:space="0"/>
            </w:tcBorders>
            <w:shd w:val="clear" w:color="auto" w:fill="auto"/>
            <w:noWrap w:val="0"/>
            <w:vAlign w:val="center"/>
          </w:tcPr>
          <w:p w14:paraId="60E261B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30</w:t>
            </w:r>
            <w:r>
              <w:rPr>
                <w:rFonts w:hint="eastAsia" w:ascii="宋体" w:hAnsi="宋体" w:eastAsia="宋体" w:cs="Calibri"/>
                <w:color w:val="000000"/>
                <w:spacing w:val="-10"/>
                <w:kern w:val="0"/>
                <w:sz w:val="21"/>
                <w:szCs w:val="21"/>
                <w:lang w:val="en-US" w:eastAsia="zh-CN" w:bidi="ar-SA"/>
              </w:rPr>
              <w:t>分以上赋</w:t>
            </w:r>
            <w:r>
              <w:rPr>
                <w:rFonts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p>
        </w:tc>
        <w:tc>
          <w:tcPr>
            <w:tcW w:w="243" w:type="pct"/>
            <w:vMerge w:val="restart"/>
            <w:tcBorders>
              <w:left w:val="single" w:color="auto" w:sz="0" w:space="0"/>
              <w:bottom w:val="single" w:color="auto" w:sz="0" w:space="0"/>
              <w:right w:val="single" w:color="auto" w:sz="0" w:space="0"/>
            </w:tcBorders>
            <w:shd w:val="clear" w:color="auto" w:fill="auto"/>
            <w:noWrap w:val="0"/>
            <w:vAlign w:val="center"/>
          </w:tcPr>
          <w:p w14:paraId="7D68EB3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20</w:t>
            </w:r>
            <w:r>
              <w:rPr>
                <w:rFonts w:hint="eastAsia" w:ascii="宋体" w:hAnsi="宋体" w:eastAsia="宋体" w:cs="Calibri"/>
                <w:color w:val="000000"/>
                <w:spacing w:val="-10"/>
                <w:kern w:val="0"/>
                <w:sz w:val="21"/>
                <w:szCs w:val="21"/>
                <w:lang w:val="en-US" w:eastAsia="zh-CN" w:bidi="ar-SA"/>
              </w:rPr>
              <w:t>分以上赋</w:t>
            </w:r>
            <w:r>
              <w:rPr>
                <w:rFonts w:ascii="Calibri" w:hAnsi="Calibri" w:eastAsia="宋体" w:cs="Calibri"/>
                <w:color w:val="000000"/>
                <w:spacing w:val="-10"/>
                <w:kern w:val="0"/>
                <w:sz w:val="21"/>
                <w:szCs w:val="21"/>
                <w:lang w:val="en-US" w:eastAsia="zh-CN" w:bidi="ar-SA"/>
              </w:rPr>
              <w:t>4</w:t>
            </w:r>
            <w:r>
              <w:rPr>
                <w:rFonts w:hint="eastAsia" w:ascii="宋体" w:hAnsi="宋体" w:eastAsia="宋体" w:cs="Calibri"/>
                <w:color w:val="000000"/>
                <w:spacing w:val="-10"/>
                <w:kern w:val="0"/>
                <w:sz w:val="21"/>
                <w:szCs w:val="21"/>
                <w:lang w:val="en-US" w:eastAsia="zh-CN" w:bidi="ar-SA"/>
              </w:rPr>
              <w:t>分</w:t>
            </w:r>
          </w:p>
        </w:tc>
        <w:tc>
          <w:tcPr>
            <w:tcW w:w="241" w:type="pct"/>
            <w:gridSpan w:val="2"/>
            <w:vMerge w:val="restart"/>
            <w:tcBorders>
              <w:left w:val="single" w:color="auto" w:sz="0" w:space="0"/>
              <w:bottom w:val="single" w:color="auto" w:sz="0" w:space="0"/>
              <w:right w:val="single" w:color="auto" w:sz="0" w:space="0"/>
            </w:tcBorders>
            <w:shd w:val="clear" w:color="auto" w:fill="auto"/>
            <w:noWrap w:val="0"/>
            <w:vAlign w:val="center"/>
          </w:tcPr>
          <w:p w14:paraId="657E14B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15</w:t>
            </w:r>
            <w:r>
              <w:rPr>
                <w:rFonts w:hint="eastAsia" w:ascii="宋体" w:hAnsi="宋体" w:eastAsia="宋体" w:cs="Calibri"/>
                <w:color w:val="000000"/>
                <w:spacing w:val="-10"/>
                <w:kern w:val="0"/>
                <w:sz w:val="21"/>
                <w:szCs w:val="21"/>
                <w:lang w:val="en-US" w:eastAsia="zh-CN" w:bidi="ar-SA"/>
              </w:rPr>
              <w:t>分以上赋</w:t>
            </w:r>
            <w:r>
              <w:rPr>
                <w:rFonts w:ascii="Calibri" w:hAnsi="Calibri" w:eastAsia="宋体" w:cs="Calibri"/>
                <w:color w:val="000000"/>
                <w:spacing w:val="-10"/>
                <w:kern w:val="0"/>
                <w:sz w:val="21"/>
                <w:szCs w:val="21"/>
                <w:lang w:val="en-US" w:eastAsia="zh-CN" w:bidi="ar-SA"/>
              </w:rPr>
              <w:t>3</w:t>
            </w:r>
            <w:r>
              <w:rPr>
                <w:rFonts w:hint="eastAsia" w:ascii="宋体" w:hAnsi="宋体" w:eastAsia="宋体" w:cs="Calibri"/>
                <w:color w:val="000000"/>
                <w:spacing w:val="-10"/>
                <w:kern w:val="0"/>
                <w:sz w:val="21"/>
                <w:szCs w:val="21"/>
                <w:lang w:val="en-US" w:eastAsia="zh-CN" w:bidi="ar-SA"/>
              </w:rPr>
              <w:t>分</w:t>
            </w:r>
          </w:p>
        </w:tc>
        <w:tc>
          <w:tcPr>
            <w:tcW w:w="268" w:type="pct"/>
            <w:gridSpan w:val="2"/>
            <w:vMerge w:val="restart"/>
            <w:tcBorders>
              <w:left w:val="single" w:color="auto" w:sz="0" w:space="0"/>
              <w:bottom w:val="single" w:color="auto" w:sz="0" w:space="0"/>
              <w:right w:val="single" w:color="auto" w:sz="0" w:space="0"/>
            </w:tcBorders>
            <w:shd w:val="clear" w:color="auto" w:fill="auto"/>
            <w:noWrap w:val="0"/>
            <w:vAlign w:val="center"/>
          </w:tcPr>
          <w:p w14:paraId="550E61D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10</w:t>
            </w:r>
            <w:r>
              <w:rPr>
                <w:rFonts w:hint="eastAsia" w:ascii="宋体" w:hAnsi="宋体" w:eastAsia="宋体" w:cs="Calibri"/>
                <w:color w:val="000000"/>
                <w:spacing w:val="-10"/>
                <w:kern w:val="0"/>
                <w:sz w:val="21"/>
                <w:szCs w:val="21"/>
                <w:lang w:val="en-US" w:eastAsia="zh-CN" w:bidi="ar-SA"/>
              </w:rPr>
              <w:t>分以上赋</w:t>
            </w:r>
            <w:r>
              <w:rPr>
                <w:rFonts w:ascii="Calibri" w:hAnsi="Calibri" w:eastAsia="宋体" w:cs="Calibri"/>
                <w:color w:val="000000"/>
                <w:spacing w:val="-10"/>
                <w:kern w:val="0"/>
                <w:sz w:val="21"/>
                <w:szCs w:val="21"/>
                <w:lang w:val="en-US" w:eastAsia="zh-CN" w:bidi="ar-SA"/>
              </w:rPr>
              <w:t>2</w:t>
            </w:r>
            <w:r>
              <w:rPr>
                <w:rFonts w:hint="eastAsia" w:ascii="宋体" w:hAnsi="宋体" w:eastAsia="宋体" w:cs="Calibri"/>
                <w:color w:val="000000"/>
                <w:spacing w:val="-10"/>
                <w:kern w:val="0"/>
                <w:sz w:val="21"/>
                <w:szCs w:val="21"/>
                <w:lang w:val="en-US" w:eastAsia="zh-CN" w:bidi="ar-SA"/>
              </w:rPr>
              <w:t>分</w:t>
            </w:r>
          </w:p>
        </w:tc>
        <w:tc>
          <w:tcPr>
            <w:tcW w:w="239" w:type="pct"/>
            <w:gridSpan w:val="2"/>
            <w:vMerge w:val="restart"/>
            <w:tcBorders>
              <w:left w:val="single" w:color="auto" w:sz="0" w:space="0"/>
              <w:bottom w:val="single" w:color="auto" w:sz="0" w:space="0"/>
              <w:right w:val="single" w:color="auto" w:sz="0" w:space="0"/>
            </w:tcBorders>
            <w:shd w:val="clear" w:color="auto" w:fill="auto"/>
            <w:noWrap w:val="0"/>
            <w:vAlign w:val="center"/>
          </w:tcPr>
          <w:p w14:paraId="499E1DE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r>
              <w:rPr>
                <w:rFonts w:ascii="Calibri" w:hAnsi="Calibri" w:eastAsia="宋体" w:cs="Calibri"/>
                <w:color w:val="000000"/>
                <w:spacing w:val="-10"/>
                <w:kern w:val="0"/>
                <w:sz w:val="21"/>
                <w:szCs w:val="21"/>
                <w:lang w:val="en-US" w:eastAsia="zh-CN" w:bidi="ar-SA"/>
              </w:rPr>
              <w:t xml:space="preserve"> </w:t>
            </w:r>
            <w:r>
              <w:rPr>
                <w:rFonts w:hint="eastAsia" w:ascii="宋体" w:hAnsi="宋体" w:eastAsia="宋体" w:cs="Calibri"/>
                <w:color w:val="000000"/>
                <w:spacing w:val="-10"/>
                <w:kern w:val="0"/>
                <w:sz w:val="21"/>
                <w:szCs w:val="21"/>
                <w:lang w:val="en-US" w:eastAsia="zh-CN" w:bidi="ar-SA"/>
              </w:rPr>
              <w:t>以上赋</w:t>
            </w:r>
            <w:r>
              <w:rPr>
                <w:rFonts w:ascii="Calibri" w:hAnsi="Calibri" w:eastAsia="宋体" w:cs="Calibri"/>
                <w:color w:val="000000"/>
                <w:spacing w:val="-10"/>
                <w:kern w:val="0"/>
                <w:sz w:val="21"/>
                <w:szCs w:val="21"/>
                <w:lang w:val="en-US" w:eastAsia="zh-CN" w:bidi="ar-SA"/>
              </w:rPr>
              <w:t>1</w:t>
            </w:r>
            <w:r>
              <w:rPr>
                <w:rFonts w:hint="eastAsia" w:ascii="宋体" w:hAnsi="宋体" w:eastAsia="宋体" w:cs="Calibri"/>
                <w:color w:val="000000"/>
                <w:spacing w:val="-10"/>
                <w:kern w:val="0"/>
                <w:sz w:val="21"/>
                <w:szCs w:val="21"/>
                <w:lang w:val="en-US" w:eastAsia="zh-CN" w:bidi="ar-SA"/>
              </w:rPr>
              <w:t>分</w:t>
            </w:r>
          </w:p>
        </w:tc>
        <w:tc>
          <w:tcPr>
            <w:tcW w:w="280" w:type="pct"/>
            <w:gridSpan w:val="2"/>
            <w:vMerge w:val="restart"/>
            <w:tcBorders>
              <w:left w:val="single" w:color="auto" w:sz="0" w:space="0"/>
              <w:bottom w:val="single" w:color="auto" w:sz="0" w:space="0"/>
              <w:right w:val="single" w:color="auto" w:sz="0" w:space="0"/>
            </w:tcBorders>
            <w:shd w:val="clear" w:color="auto" w:fill="auto"/>
            <w:noWrap/>
            <w:vAlign w:val="center"/>
          </w:tcPr>
          <w:p w14:paraId="644596B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前15%</w:t>
            </w:r>
          </w:p>
        </w:tc>
        <w:tc>
          <w:tcPr>
            <w:tcW w:w="266" w:type="pct"/>
            <w:vMerge w:val="restart"/>
            <w:tcBorders>
              <w:left w:val="single" w:color="auto" w:sz="0" w:space="0"/>
              <w:bottom w:val="single" w:color="auto" w:sz="0" w:space="0"/>
              <w:right w:val="single" w:color="auto" w:sz="0" w:space="0"/>
            </w:tcBorders>
            <w:shd w:val="clear" w:color="auto" w:fill="auto"/>
            <w:noWrap/>
            <w:vAlign w:val="center"/>
          </w:tcPr>
          <w:p w14:paraId="4137F5C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排名16-</w:t>
            </w:r>
            <w:r>
              <w:rPr>
                <w:rFonts w:ascii="Calibri" w:hAnsi="Calibri" w:eastAsia="宋体" w:cs="Calibri"/>
                <w:color w:val="000000"/>
                <w:spacing w:val="-10"/>
                <w:kern w:val="0"/>
                <w:sz w:val="21"/>
                <w:szCs w:val="21"/>
                <w:lang w:val="en-US" w:eastAsia="zh-CN" w:bidi="ar-SA"/>
              </w:rPr>
              <w:t>50%</w:t>
            </w:r>
          </w:p>
        </w:tc>
        <w:tc>
          <w:tcPr>
            <w:tcW w:w="257" w:type="pct"/>
            <w:gridSpan w:val="2"/>
            <w:vMerge w:val="restart"/>
            <w:tcBorders>
              <w:left w:val="single" w:color="auto" w:sz="0" w:space="0"/>
              <w:bottom w:val="single" w:color="auto" w:sz="0" w:space="0"/>
              <w:right w:val="single" w:color="auto" w:sz="0" w:space="0"/>
            </w:tcBorders>
            <w:shd w:val="clear" w:color="auto" w:fill="auto"/>
            <w:noWrap/>
            <w:vAlign w:val="center"/>
          </w:tcPr>
          <w:p w14:paraId="464FBE4A">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排名51-</w:t>
            </w:r>
            <w:r>
              <w:rPr>
                <w:rFonts w:ascii="Calibri" w:hAnsi="Calibri" w:eastAsia="宋体" w:cs="Calibri"/>
                <w:color w:val="000000"/>
                <w:spacing w:val="-10"/>
                <w:kern w:val="0"/>
                <w:sz w:val="21"/>
                <w:szCs w:val="21"/>
                <w:lang w:val="en-US" w:eastAsia="zh-CN" w:bidi="ar-SA"/>
              </w:rPr>
              <w:t>75%</w:t>
            </w:r>
          </w:p>
        </w:tc>
        <w:tc>
          <w:tcPr>
            <w:tcW w:w="250" w:type="pct"/>
            <w:gridSpan w:val="2"/>
            <w:vMerge w:val="restart"/>
            <w:tcBorders>
              <w:left w:val="single" w:color="auto" w:sz="0" w:space="0"/>
              <w:bottom w:val="single" w:color="auto" w:sz="0" w:space="0"/>
              <w:right w:val="single" w:color="auto" w:sz="0" w:space="0"/>
            </w:tcBorders>
            <w:shd w:val="clear" w:color="auto" w:fill="auto"/>
            <w:noWrap/>
            <w:vAlign w:val="center"/>
          </w:tcPr>
          <w:p w14:paraId="60E5A01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排名76-</w:t>
            </w:r>
            <w:r>
              <w:rPr>
                <w:rFonts w:ascii="Calibri" w:hAnsi="Calibri" w:eastAsia="宋体" w:cs="Calibri"/>
                <w:color w:val="000000"/>
                <w:spacing w:val="-10"/>
                <w:kern w:val="0"/>
                <w:sz w:val="21"/>
                <w:szCs w:val="21"/>
                <w:lang w:val="en-US" w:eastAsia="zh-CN" w:bidi="ar-SA"/>
              </w:rPr>
              <w:t>95%</w:t>
            </w:r>
          </w:p>
        </w:tc>
        <w:tc>
          <w:tcPr>
            <w:tcW w:w="253" w:type="pct"/>
            <w:vMerge w:val="restart"/>
            <w:tcBorders>
              <w:left w:val="single" w:color="auto" w:sz="0" w:space="0"/>
              <w:bottom w:val="single" w:color="auto" w:sz="0" w:space="0"/>
              <w:right w:val="single" w:color="auto" w:sz="0" w:space="0"/>
            </w:tcBorders>
            <w:shd w:val="clear" w:color="auto" w:fill="auto"/>
            <w:noWrap/>
            <w:vAlign w:val="center"/>
          </w:tcPr>
          <w:p w14:paraId="3259A8A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后5%</w:t>
            </w:r>
          </w:p>
        </w:tc>
      </w:tr>
      <w:tr w14:paraId="41C8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09" w:hRule="atLeast"/>
          <w:jc w:val="center"/>
        </w:trPr>
        <w:tc>
          <w:tcPr>
            <w:tcW w:w="390" w:type="pct"/>
            <w:vMerge w:val="continue"/>
            <w:tcBorders>
              <w:left w:val="single" w:color="auto" w:sz="0" w:space="0"/>
              <w:bottom w:val="single" w:color="auto" w:sz="0" w:space="0"/>
              <w:right w:val="single" w:color="auto" w:sz="0" w:space="0"/>
            </w:tcBorders>
            <w:noWrap w:val="0"/>
            <w:vAlign w:val="center"/>
          </w:tcPr>
          <w:p w14:paraId="1BC701A1">
            <w:pPr>
              <w:widowControl/>
              <w:snapToGrid w:val="0"/>
              <w:spacing w:line="360" w:lineRule="auto"/>
              <w:jc w:val="center"/>
              <w:rPr>
                <w:rFonts w:ascii="宋体" w:hAnsi="宋体" w:eastAsia="宋体" w:cs="宋体"/>
                <w:b/>
                <w:bCs/>
                <w:color w:val="000000"/>
                <w:spacing w:val="-10"/>
                <w:kern w:val="0"/>
                <w:sz w:val="21"/>
                <w:szCs w:val="21"/>
                <w:lang w:val="en-US" w:eastAsia="zh-CN" w:bidi="ar-SA"/>
              </w:rPr>
            </w:pPr>
          </w:p>
        </w:tc>
        <w:tc>
          <w:tcPr>
            <w:tcW w:w="264" w:type="pct"/>
            <w:vMerge w:val="continue"/>
            <w:tcBorders>
              <w:left w:val="single" w:color="auto" w:sz="0" w:space="0"/>
              <w:bottom w:val="single" w:color="auto" w:sz="0" w:space="0"/>
              <w:right w:val="single" w:color="auto" w:sz="0" w:space="0"/>
            </w:tcBorders>
            <w:noWrap w:val="0"/>
            <w:vAlign w:val="center"/>
          </w:tcPr>
          <w:p w14:paraId="0C63CE1C">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8" w:type="pct"/>
            <w:vMerge w:val="continue"/>
            <w:tcBorders>
              <w:left w:val="single" w:color="auto" w:sz="0" w:space="0"/>
              <w:bottom w:val="single" w:color="auto" w:sz="0" w:space="0"/>
              <w:right w:val="single" w:color="auto" w:sz="0" w:space="0"/>
            </w:tcBorders>
            <w:noWrap w:val="0"/>
            <w:vAlign w:val="center"/>
          </w:tcPr>
          <w:p w14:paraId="2839426F">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9" w:type="pct"/>
            <w:vMerge w:val="continue"/>
            <w:tcBorders>
              <w:left w:val="single" w:color="auto" w:sz="0" w:space="0"/>
              <w:bottom w:val="single" w:color="auto" w:sz="0" w:space="0"/>
              <w:right w:val="single" w:color="auto" w:sz="0" w:space="0"/>
            </w:tcBorders>
            <w:noWrap w:val="0"/>
            <w:vAlign w:val="center"/>
          </w:tcPr>
          <w:p w14:paraId="7FBF9D88">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9" w:type="pct"/>
            <w:vMerge w:val="continue"/>
            <w:tcBorders>
              <w:left w:val="single" w:color="auto" w:sz="0" w:space="0"/>
              <w:bottom w:val="single" w:color="auto" w:sz="0" w:space="0"/>
              <w:right w:val="single" w:color="auto" w:sz="0" w:space="0"/>
            </w:tcBorders>
            <w:noWrap w:val="0"/>
            <w:vAlign w:val="center"/>
          </w:tcPr>
          <w:p w14:paraId="50C2ABF3">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4" w:type="pct"/>
            <w:vMerge w:val="continue"/>
            <w:tcBorders>
              <w:left w:val="single" w:color="auto" w:sz="0" w:space="0"/>
              <w:bottom w:val="single" w:color="auto" w:sz="0" w:space="0"/>
              <w:right w:val="single" w:color="auto" w:sz="0" w:space="0"/>
            </w:tcBorders>
            <w:noWrap w:val="0"/>
            <w:vAlign w:val="center"/>
          </w:tcPr>
          <w:p w14:paraId="27E1AC03">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5" w:type="pct"/>
            <w:vMerge w:val="continue"/>
            <w:tcBorders>
              <w:left w:val="single" w:color="auto" w:sz="0" w:space="0"/>
              <w:bottom w:val="single" w:color="auto" w:sz="0" w:space="0"/>
              <w:right w:val="single" w:color="auto" w:sz="0" w:space="0"/>
            </w:tcBorders>
            <w:noWrap w:val="0"/>
            <w:vAlign w:val="center"/>
          </w:tcPr>
          <w:p w14:paraId="5AEE7305">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7" w:type="pct"/>
            <w:vMerge w:val="continue"/>
            <w:tcBorders>
              <w:left w:val="single" w:color="auto" w:sz="0" w:space="0"/>
              <w:bottom w:val="single" w:color="auto" w:sz="0" w:space="0"/>
              <w:right w:val="single" w:color="auto" w:sz="0" w:space="0"/>
            </w:tcBorders>
            <w:noWrap w:val="0"/>
            <w:vAlign w:val="center"/>
          </w:tcPr>
          <w:p w14:paraId="0235C8D9">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0" w:type="pct"/>
            <w:vMerge w:val="continue"/>
            <w:tcBorders>
              <w:left w:val="single" w:color="auto" w:sz="0" w:space="0"/>
              <w:bottom w:val="single" w:color="auto" w:sz="0" w:space="0"/>
              <w:right w:val="single" w:color="auto" w:sz="0" w:space="0"/>
            </w:tcBorders>
            <w:noWrap w:val="0"/>
            <w:vAlign w:val="center"/>
          </w:tcPr>
          <w:p w14:paraId="3584D9E0">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7" w:type="pct"/>
            <w:vMerge w:val="continue"/>
            <w:tcBorders>
              <w:left w:val="single" w:color="auto" w:sz="0" w:space="0"/>
              <w:bottom w:val="single" w:color="auto" w:sz="0" w:space="0"/>
              <w:right w:val="single" w:color="auto" w:sz="0" w:space="0"/>
            </w:tcBorders>
            <w:noWrap w:val="0"/>
            <w:vAlign w:val="center"/>
          </w:tcPr>
          <w:p w14:paraId="57169377">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3" w:type="pct"/>
            <w:vMerge w:val="continue"/>
            <w:tcBorders>
              <w:left w:val="single" w:color="auto" w:sz="0" w:space="0"/>
              <w:bottom w:val="single" w:color="auto" w:sz="0" w:space="0"/>
              <w:right w:val="single" w:color="auto" w:sz="0" w:space="0"/>
            </w:tcBorders>
            <w:noWrap w:val="0"/>
            <w:vAlign w:val="center"/>
          </w:tcPr>
          <w:p w14:paraId="185E597C">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1" w:type="pct"/>
            <w:gridSpan w:val="2"/>
            <w:vMerge w:val="continue"/>
            <w:tcBorders>
              <w:left w:val="single" w:color="auto" w:sz="0" w:space="0"/>
              <w:bottom w:val="single" w:color="auto" w:sz="0" w:space="0"/>
              <w:right w:val="single" w:color="auto" w:sz="0" w:space="0"/>
            </w:tcBorders>
            <w:noWrap w:val="0"/>
            <w:vAlign w:val="center"/>
          </w:tcPr>
          <w:p w14:paraId="19C6A332">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68" w:type="pct"/>
            <w:gridSpan w:val="2"/>
            <w:vMerge w:val="continue"/>
            <w:tcBorders>
              <w:left w:val="single" w:color="auto" w:sz="0" w:space="0"/>
              <w:bottom w:val="single" w:color="auto" w:sz="0" w:space="0"/>
              <w:right w:val="single" w:color="auto" w:sz="0" w:space="0"/>
            </w:tcBorders>
            <w:noWrap w:val="0"/>
            <w:vAlign w:val="center"/>
          </w:tcPr>
          <w:p w14:paraId="5F61EC87">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9" w:type="pct"/>
            <w:gridSpan w:val="2"/>
            <w:vMerge w:val="continue"/>
            <w:tcBorders>
              <w:left w:val="single" w:color="auto" w:sz="0" w:space="0"/>
              <w:bottom w:val="single" w:color="auto" w:sz="0" w:space="0"/>
              <w:right w:val="single" w:color="auto" w:sz="0" w:space="0"/>
            </w:tcBorders>
            <w:noWrap w:val="0"/>
            <w:vAlign w:val="center"/>
          </w:tcPr>
          <w:p w14:paraId="1E653386">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80" w:type="pct"/>
            <w:gridSpan w:val="2"/>
            <w:vMerge w:val="continue"/>
            <w:tcBorders>
              <w:left w:val="single" w:color="auto" w:sz="0" w:space="0"/>
              <w:bottom w:val="single" w:color="auto" w:sz="0" w:space="0"/>
              <w:right w:val="single" w:color="auto" w:sz="0" w:space="0"/>
            </w:tcBorders>
            <w:noWrap w:val="0"/>
            <w:vAlign w:val="center"/>
          </w:tcPr>
          <w:p w14:paraId="6ABB8555">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66" w:type="pct"/>
            <w:vMerge w:val="continue"/>
            <w:tcBorders>
              <w:left w:val="single" w:color="auto" w:sz="0" w:space="0"/>
              <w:bottom w:val="single" w:color="auto" w:sz="0" w:space="0"/>
              <w:right w:val="single" w:color="auto" w:sz="0" w:space="0"/>
            </w:tcBorders>
            <w:noWrap w:val="0"/>
            <w:vAlign w:val="center"/>
          </w:tcPr>
          <w:p w14:paraId="198EABFB">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7" w:type="pct"/>
            <w:gridSpan w:val="2"/>
            <w:vMerge w:val="continue"/>
            <w:tcBorders>
              <w:left w:val="single" w:color="auto" w:sz="0" w:space="0"/>
              <w:bottom w:val="single" w:color="auto" w:sz="0" w:space="0"/>
              <w:right w:val="single" w:color="auto" w:sz="0" w:space="0"/>
            </w:tcBorders>
            <w:noWrap w:val="0"/>
            <w:vAlign w:val="center"/>
          </w:tcPr>
          <w:p w14:paraId="35581120">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0" w:type="pct"/>
            <w:gridSpan w:val="2"/>
            <w:vMerge w:val="continue"/>
            <w:tcBorders>
              <w:left w:val="single" w:color="auto" w:sz="0" w:space="0"/>
              <w:bottom w:val="single" w:color="auto" w:sz="0" w:space="0"/>
              <w:right w:val="single" w:color="auto" w:sz="0" w:space="0"/>
            </w:tcBorders>
            <w:noWrap w:val="0"/>
            <w:vAlign w:val="center"/>
          </w:tcPr>
          <w:p w14:paraId="11B7D62E">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3" w:type="pct"/>
            <w:vMerge w:val="continue"/>
            <w:tcBorders>
              <w:left w:val="single" w:color="auto" w:sz="0" w:space="0"/>
              <w:bottom w:val="single" w:color="auto" w:sz="0" w:space="0"/>
              <w:right w:val="single" w:color="auto" w:sz="0" w:space="0"/>
            </w:tcBorders>
            <w:noWrap w:val="0"/>
            <w:vAlign w:val="center"/>
          </w:tcPr>
          <w:p w14:paraId="47D9AE7A">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r>
      <w:tr w14:paraId="7A77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09" w:hRule="atLeast"/>
          <w:jc w:val="center"/>
        </w:trPr>
        <w:tc>
          <w:tcPr>
            <w:tcW w:w="390" w:type="pct"/>
            <w:vMerge w:val="continue"/>
            <w:tcBorders>
              <w:left w:val="single" w:color="auto" w:sz="0" w:space="0"/>
              <w:bottom w:val="single" w:color="auto" w:sz="0" w:space="0"/>
              <w:right w:val="single" w:color="auto" w:sz="0" w:space="0"/>
            </w:tcBorders>
            <w:noWrap w:val="0"/>
            <w:vAlign w:val="center"/>
          </w:tcPr>
          <w:p w14:paraId="6FD8ECA6">
            <w:pPr>
              <w:widowControl/>
              <w:snapToGrid w:val="0"/>
              <w:spacing w:line="360" w:lineRule="auto"/>
              <w:jc w:val="center"/>
              <w:rPr>
                <w:rFonts w:ascii="宋体" w:hAnsi="宋体" w:eastAsia="宋体" w:cs="宋体"/>
                <w:b/>
                <w:bCs/>
                <w:color w:val="000000"/>
                <w:spacing w:val="-10"/>
                <w:kern w:val="0"/>
                <w:sz w:val="21"/>
                <w:szCs w:val="21"/>
                <w:lang w:val="en-US" w:eastAsia="zh-CN" w:bidi="ar-SA"/>
              </w:rPr>
            </w:pPr>
          </w:p>
        </w:tc>
        <w:tc>
          <w:tcPr>
            <w:tcW w:w="264" w:type="pct"/>
            <w:vMerge w:val="continue"/>
            <w:tcBorders>
              <w:left w:val="single" w:color="auto" w:sz="0" w:space="0"/>
              <w:bottom w:val="single" w:color="auto" w:sz="0" w:space="0"/>
              <w:right w:val="single" w:color="auto" w:sz="0" w:space="0"/>
            </w:tcBorders>
            <w:noWrap w:val="0"/>
            <w:vAlign w:val="center"/>
          </w:tcPr>
          <w:p w14:paraId="44A325D9">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8" w:type="pct"/>
            <w:vMerge w:val="continue"/>
            <w:tcBorders>
              <w:left w:val="single" w:color="auto" w:sz="0" w:space="0"/>
              <w:bottom w:val="single" w:color="auto" w:sz="0" w:space="0"/>
              <w:right w:val="single" w:color="auto" w:sz="0" w:space="0"/>
            </w:tcBorders>
            <w:noWrap w:val="0"/>
            <w:vAlign w:val="center"/>
          </w:tcPr>
          <w:p w14:paraId="70990C03">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9" w:type="pct"/>
            <w:vMerge w:val="continue"/>
            <w:tcBorders>
              <w:left w:val="single" w:color="auto" w:sz="0" w:space="0"/>
              <w:bottom w:val="single" w:color="auto" w:sz="0" w:space="0"/>
              <w:right w:val="single" w:color="auto" w:sz="0" w:space="0"/>
            </w:tcBorders>
            <w:noWrap w:val="0"/>
            <w:vAlign w:val="center"/>
          </w:tcPr>
          <w:p w14:paraId="293C645D">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9" w:type="pct"/>
            <w:vMerge w:val="continue"/>
            <w:tcBorders>
              <w:left w:val="single" w:color="auto" w:sz="0" w:space="0"/>
              <w:bottom w:val="single" w:color="auto" w:sz="0" w:space="0"/>
              <w:right w:val="single" w:color="auto" w:sz="0" w:space="0"/>
            </w:tcBorders>
            <w:noWrap w:val="0"/>
            <w:vAlign w:val="center"/>
          </w:tcPr>
          <w:p w14:paraId="17EC1FB3">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4" w:type="pct"/>
            <w:vMerge w:val="continue"/>
            <w:tcBorders>
              <w:left w:val="single" w:color="auto" w:sz="0" w:space="0"/>
              <w:bottom w:val="single" w:color="auto" w:sz="0" w:space="0"/>
              <w:right w:val="single" w:color="auto" w:sz="0" w:space="0"/>
            </w:tcBorders>
            <w:noWrap w:val="0"/>
            <w:vAlign w:val="center"/>
          </w:tcPr>
          <w:p w14:paraId="59ADDC39">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5" w:type="pct"/>
            <w:vMerge w:val="continue"/>
            <w:tcBorders>
              <w:left w:val="single" w:color="auto" w:sz="0" w:space="0"/>
              <w:bottom w:val="single" w:color="auto" w:sz="0" w:space="0"/>
              <w:right w:val="single" w:color="auto" w:sz="0" w:space="0"/>
            </w:tcBorders>
            <w:noWrap w:val="0"/>
            <w:vAlign w:val="center"/>
          </w:tcPr>
          <w:p w14:paraId="026CBEC5">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7" w:type="pct"/>
            <w:vMerge w:val="continue"/>
            <w:tcBorders>
              <w:left w:val="single" w:color="auto" w:sz="0" w:space="0"/>
              <w:bottom w:val="single" w:color="auto" w:sz="0" w:space="0"/>
              <w:right w:val="single" w:color="auto" w:sz="0" w:space="0"/>
            </w:tcBorders>
            <w:noWrap w:val="0"/>
            <w:vAlign w:val="center"/>
          </w:tcPr>
          <w:p w14:paraId="3A1EA056">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0" w:type="pct"/>
            <w:vMerge w:val="continue"/>
            <w:tcBorders>
              <w:left w:val="single" w:color="auto" w:sz="0" w:space="0"/>
              <w:bottom w:val="single" w:color="auto" w:sz="0" w:space="0"/>
              <w:right w:val="single" w:color="auto" w:sz="0" w:space="0"/>
            </w:tcBorders>
            <w:noWrap w:val="0"/>
            <w:vAlign w:val="center"/>
          </w:tcPr>
          <w:p w14:paraId="4C1C3EFA">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7" w:type="pct"/>
            <w:vMerge w:val="continue"/>
            <w:tcBorders>
              <w:left w:val="single" w:color="auto" w:sz="0" w:space="0"/>
              <w:bottom w:val="single" w:color="auto" w:sz="0" w:space="0"/>
              <w:right w:val="single" w:color="auto" w:sz="0" w:space="0"/>
            </w:tcBorders>
            <w:noWrap w:val="0"/>
            <w:vAlign w:val="center"/>
          </w:tcPr>
          <w:p w14:paraId="57C410EF">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3" w:type="pct"/>
            <w:vMerge w:val="continue"/>
            <w:tcBorders>
              <w:left w:val="single" w:color="auto" w:sz="0" w:space="0"/>
              <w:bottom w:val="single" w:color="auto" w:sz="0" w:space="0"/>
              <w:right w:val="single" w:color="auto" w:sz="0" w:space="0"/>
            </w:tcBorders>
            <w:noWrap w:val="0"/>
            <w:vAlign w:val="center"/>
          </w:tcPr>
          <w:p w14:paraId="5ED8A1E9">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1" w:type="pct"/>
            <w:gridSpan w:val="2"/>
            <w:vMerge w:val="continue"/>
            <w:tcBorders>
              <w:left w:val="single" w:color="auto" w:sz="0" w:space="0"/>
              <w:bottom w:val="single" w:color="auto" w:sz="0" w:space="0"/>
              <w:right w:val="single" w:color="auto" w:sz="0" w:space="0"/>
            </w:tcBorders>
            <w:noWrap w:val="0"/>
            <w:vAlign w:val="center"/>
          </w:tcPr>
          <w:p w14:paraId="17944E0A">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68" w:type="pct"/>
            <w:gridSpan w:val="2"/>
            <w:vMerge w:val="continue"/>
            <w:tcBorders>
              <w:left w:val="single" w:color="auto" w:sz="0" w:space="0"/>
              <w:bottom w:val="single" w:color="auto" w:sz="0" w:space="0"/>
              <w:right w:val="single" w:color="auto" w:sz="0" w:space="0"/>
            </w:tcBorders>
            <w:noWrap w:val="0"/>
            <w:vAlign w:val="center"/>
          </w:tcPr>
          <w:p w14:paraId="09137AB4">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9" w:type="pct"/>
            <w:gridSpan w:val="2"/>
            <w:vMerge w:val="continue"/>
            <w:tcBorders>
              <w:left w:val="single" w:color="auto" w:sz="0" w:space="0"/>
              <w:bottom w:val="single" w:color="auto" w:sz="0" w:space="0"/>
              <w:right w:val="single" w:color="auto" w:sz="0" w:space="0"/>
            </w:tcBorders>
            <w:noWrap w:val="0"/>
            <w:vAlign w:val="center"/>
          </w:tcPr>
          <w:p w14:paraId="19DF2C3A">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80" w:type="pct"/>
            <w:gridSpan w:val="2"/>
            <w:vMerge w:val="continue"/>
            <w:tcBorders>
              <w:left w:val="single" w:color="auto" w:sz="0" w:space="0"/>
              <w:bottom w:val="single" w:color="auto" w:sz="0" w:space="0"/>
              <w:right w:val="single" w:color="auto" w:sz="0" w:space="0"/>
            </w:tcBorders>
            <w:noWrap w:val="0"/>
            <w:vAlign w:val="center"/>
          </w:tcPr>
          <w:p w14:paraId="42D91F0E">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66" w:type="pct"/>
            <w:vMerge w:val="continue"/>
            <w:tcBorders>
              <w:left w:val="single" w:color="auto" w:sz="0" w:space="0"/>
              <w:bottom w:val="single" w:color="auto" w:sz="0" w:space="0"/>
              <w:right w:val="single" w:color="auto" w:sz="0" w:space="0"/>
            </w:tcBorders>
            <w:noWrap w:val="0"/>
            <w:vAlign w:val="center"/>
          </w:tcPr>
          <w:p w14:paraId="4CDD950F">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7" w:type="pct"/>
            <w:gridSpan w:val="2"/>
            <w:vMerge w:val="continue"/>
            <w:tcBorders>
              <w:left w:val="single" w:color="auto" w:sz="0" w:space="0"/>
              <w:bottom w:val="single" w:color="auto" w:sz="0" w:space="0"/>
              <w:right w:val="single" w:color="auto" w:sz="0" w:space="0"/>
            </w:tcBorders>
            <w:noWrap w:val="0"/>
            <w:vAlign w:val="center"/>
          </w:tcPr>
          <w:p w14:paraId="35FA099E">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0" w:type="pct"/>
            <w:gridSpan w:val="2"/>
            <w:vMerge w:val="continue"/>
            <w:tcBorders>
              <w:left w:val="single" w:color="auto" w:sz="0" w:space="0"/>
              <w:bottom w:val="single" w:color="auto" w:sz="0" w:space="0"/>
              <w:right w:val="single" w:color="auto" w:sz="0" w:space="0"/>
            </w:tcBorders>
            <w:noWrap w:val="0"/>
            <w:vAlign w:val="center"/>
          </w:tcPr>
          <w:p w14:paraId="1C6E3172">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3" w:type="pct"/>
            <w:vMerge w:val="continue"/>
            <w:tcBorders>
              <w:left w:val="single" w:color="auto" w:sz="0" w:space="0"/>
              <w:bottom w:val="single" w:color="auto" w:sz="0" w:space="0"/>
              <w:right w:val="single" w:color="auto" w:sz="0" w:space="0"/>
            </w:tcBorders>
            <w:noWrap w:val="0"/>
            <w:vAlign w:val="center"/>
          </w:tcPr>
          <w:p w14:paraId="0C4CD8CE">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r>
      <w:tr w14:paraId="455E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09" w:hRule="atLeast"/>
          <w:jc w:val="center"/>
        </w:trPr>
        <w:tc>
          <w:tcPr>
            <w:tcW w:w="390" w:type="pct"/>
            <w:vMerge w:val="continue"/>
            <w:tcBorders>
              <w:left w:val="single" w:color="auto" w:sz="0" w:space="0"/>
              <w:bottom w:val="single" w:color="auto" w:sz="0" w:space="0"/>
              <w:right w:val="single" w:color="auto" w:sz="0" w:space="0"/>
            </w:tcBorders>
            <w:noWrap w:val="0"/>
            <w:vAlign w:val="center"/>
          </w:tcPr>
          <w:p w14:paraId="32B92BC1">
            <w:pPr>
              <w:widowControl/>
              <w:snapToGrid w:val="0"/>
              <w:spacing w:line="360" w:lineRule="auto"/>
              <w:jc w:val="center"/>
              <w:rPr>
                <w:rFonts w:ascii="宋体" w:hAnsi="宋体" w:eastAsia="宋体" w:cs="宋体"/>
                <w:b/>
                <w:bCs/>
                <w:color w:val="000000"/>
                <w:spacing w:val="-10"/>
                <w:kern w:val="0"/>
                <w:sz w:val="21"/>
                <w:szCs w:val="21"/>
                <w:lang w:val="en-US" w:eastAsia="zh-CN" w:bidi="ar-SA"/>
              </w:rPr>
            </w:pPr>
          </w:p>
        </w:tc>
        <w:tc>
          <w:tcPr>
            <w:tcW w:w="264" w:type="pct"/>
            <w:vMerge w:val="continue"/>
            <w:tcBorders>
              <w:left w:val="single" w:color="auto" w:sz="0" w:space="0"/>
              <w:bottom w:val="single" w:color="auto" w:sz="0" w:space="0"/>
              <w:right w:val="single" w:color="auto" w:sz="0" w:space="0"/>
            </w:tcBorders>
            <w:noWrap w:val="0"/>
            <w:vAlign w:val="center"/>
          </w:tcPr>
          <w:p w14:paraId="1BFAD36C">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8" w:type="pct"/>
            <w:vMerge w:val="continue"/>
            <w:tcBorders>
              <w:left w:val="single" w:color="auto" w:sz="0" w:space="0"/>
              <w:bottom w:val="single" w:color="auto" w:sz="0" w:space="0"/>
              <w:right w:val="single" w:color="auto" w:sz="0" w:space="0"/>
            </w:tcBorders>
            <w:noWrap w:val="0"/>
            <w:vAlign w:val="center"/>
          </w:tcPr>
          <w:p w14:paraId="4965292F">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9" w:type="pct"/>
            <w:vMerge w:val="continue"/>
            <w:tcBorders>
              <w:left w:val="single" w:color="auto" w:sz="0" w:space="0"/>
              <w:bottom w:val="single" w:color="auto" w:sz="0" w:space="0"/>
              <w:right w:val="single" w:color="auto" w:sz="0" w:space="0"/>
            </w:tcBorders>
            <w:noWrap w:val="0"/>
            <w:vAlign w:val="center"/>
          </w:tcPr>
          <w:p w14:paraId="2C42D7C0">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79" w:type="pct"/>
            <w:vMerge w:val="continue"/>
            <w:tcBorders>
              <w:left w:val="single" w:color="auto" w:sz="0" w:space="0"/>
              <w:bottom w:val="single" w:color="auto" w:sz="0" w:space="0"/>
              <w:right w:val="single" w:color="auto" w:sz="0" w:space="0"/>
            </w:tcBorders>
            <w:noWrap w:val="0"/>
            <w:vAlign w:val="center"/>
          </w:tcPr>
          <w:p w14:paraId="721FA180">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4" w:type="pct"/>
            <w:vMerge w:val="continue"/>
            <w:tcBorders>
              <w:left w:val="single" w:color="auto" w:sz="0" w:space="0"/>
              <w:bottom w:val="single" w:color="auto" w:sz="0" w:space="0"/>
              <w:right w:val="single" w:color="auto" w:sz="0" w:space="0"/>
            </w:tcBorders>
            <w:noWrap w:val="0"/>
            <w:vAlign w:val="center"/>
          </w:tcPr>
          <w:p w14:paraId="678954B2">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5" w:type="pct"/>
            <w:vMerge w:val="continue"/>
            <w:tcBorders>
              <w:left w:val="single" w:color="auto" w:sz="0" w:space="0"/>
              <w:bottom w:val="single" w:color="auto" w:sz="0" w:space="0"/>
              <w:right w:val="single" w:color="auto" w:sz="0" w:space="0"/>
            </w:tcBorders>
            <w:noWrap w:val="0"/>
            <w:vAlign w:val="center"/>
          </w:tcPr>
          <w:p w14:paraId="4D73B1C7">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7" w:type="pct"/>
            <w:vMerge w:val="continue"/>
            <w:tcBorders>
              <w:left w:val="single" w:color="auto" w:sz="0" w:space="0"/>
              <w:bottom w:val="single" w:color="auto" w:sz="0" w:space="0"/>
              <w:right w:val="single" w:color="auto" w:sz="0" w:space="0"/>
            </w:tcBorders>
            <w:noWrap w:val="0"/>
            <w:vAlign w:val="center"/>
          </w:tcPr>
          <w:p w14:paraId="57C23C1C">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0" w:type="pct"/>
            <w:vMerge w:val="continue"/>
            <w:tcBorders>
              <w:left w:val="single" w:color="auto" w:sz="0" w:space="0"/>
              <w:bottom w:val="single" w:color="auto" w:sz="0" w:space="0"/>
              <w:right w:val="single" w:color="auto" w:sz="0" w:space="0"/>
            </w:tcBorders>
            <w:noWrap w:val="0"/>
            <w:vAlign w:val="center"/>
          </w:tcPr>
          <w:p w14:paraId="3BD437ED">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7" w:type="pct"/>
            <w:vMerge w:val="continue"/>
            <w:tcBorders>
              <w:left w:val="single" w:color="auto" w:sz="0" w:space="0"/>
              <w:bottom w:val="single" w:color="auto" w:sz="0" w:space="0"/>
              <w:right w:val="single" w:color="auto" w:sz="0" w:space="0"/>
            </w:tcBorders>
            <w:noWrap w:val="0"/>
            <w:vAlign w:val="center"/>
          </w:tcPr>
          <w:p w14:paraId="09395F71">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3" w:type="pct"/>
            <w:vMerge w:val="continue"/>
            <w:tcBorders>
              <w:left w:val="single" w:color="auto" w:sz="0" w:space="0"/>
              <w:bottom w:val="single" w:color="auto" w:sz="0" w:space="0"/>
              <w:right w:val="single" w:color="auto" w:sz="0" w:space="0"/>
            </w:tcBorders>
            <w:noWrap w:val="0"/>
            <w:vAlign w:val="center"/>
          </w:tcPr>
          <w:p w14:paraId="33099C53">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41" w:type="pct"/>
            <w:gridSpan w:val="2"/>
            <w:vMerge w:val="continue"/>
            <w:tcBorders>
              <w:left w:val="single" w:color="auto" w:sz="0" w:space="0"/>
              <w:bottom w:val="single" w:color="auto" w:sz="0" w:space="0"/>
              <w:right w:val="single" w:color="auto" w:sz="0" w:space="0"/>
            </w:tcBorders>
            <w:noWrap w:val="0"/>
            <w:vAlign w:val="center"/>
          </w:tcPr>
          <w:p w14:paraId="31E8B829">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68" w:type="pct"/>
            <w:gridSpan w:val="2"/>
            <w:vMerge w:val="continue"/>
            <w:tcBorders>
              <w:left w:val="single" w:color="auto" w:sz="0" w:space="0"/>
              <w:bottom w:val="single" w:color="auto" w:sz="0" w:space="0"/>
              <w:right w:val="single" w:color="auto" w:sz="0" w:space="0"/>
            </w:tcBorders>
            <w:noWrap w:val="0"/>
            <w:vAlign w:val="center"/>
          </w:tcPr>
          <w:p w14:paraId="4A379A84">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39" w:type="pct"/>
            <w:gridSpan w:val="2"/>
            <w:vMerge w:val="continue"/>
            <w:tcBorders>
              <w:left w:val="single" w:color="auto" w:sz="0" w:space="0"/>
              <w:bottom w:val="single" w:color="auto" w:sz="0" w:space="0"/>
              <w:right w:val="single" w:color="auto" w:sz="0" w:space="0"/>
            </w:tcBorders>
            <w:noWrap w:val="0"/>
            <w:vAlign w:val="center"/>
          </w:tcPr>
          <w:p w14:paraId="65DC0A6F">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80" w:type="pct"/>
            <w:gridSpan w:val="2"/>
            <w:vMerge w:val="continue"/>
            <w:tcBorders>
              <w:left w:val="single" w:color="auto" w:sz="0" w:space="0"/>
              <w:bottom w:val="single" w:color="auto" w:sz="0" w:space="0"/>
              <w:right w:val="single" w:color="auto" w:sz="0" w:space="0"/>
            </w:tcBorders>
            <w:noWrap w:val="0"/>
            <w:vAlign w:val="center"/>
          </w:tcPr>
          <w:p w14:paraId="66291DCA">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66" w:type="pct"/>
            <w:vMerge w:val="continue"/>
            <w:tcBorders>
              <w:left w:val="single" w:color="auto" w:sz="0" w:space="0"/>
              <w:bottom w:val="single" w:color="auto" w:sz="0" w:space="0"/>
              <w:right w:val="single" w:color="auto" w:sz="0" w:space="0"/>
            </w:tcBorders>
            <w:noWrap w:val="0"/>
            <w:vAlign w:val="center"/>
          </w:tcPr>
          <w:p w14:paraId="39551D43">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7" w:type="pct"/>
            <w:gridSpan w:val="2"/>
            <w:vMerge w:val="continue"/>
            <w:tcBorders>
              <w:left w:val="single" w:color="auto" w:sz="0" w:space="0"/>
              <w:bottom w:val="single" w:color="auto" w:sz="0" w:space="0"/>
              <w:right w:val="single" w:color="auto" w:sz="0" w:space="0"/>
            </w:tcBorders>
            <w:noWrap w:val="0"/>
            <w:vAlign w:val="center"/>
          </w:tcPr>
          <w:p w14:paraId="42E73FF9">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0" w:type="pct"/>
            <w:gridSpan w:val="2"/>
            <w:vMerge w:val="continue"/>
            <w:tcBorders>
              <w:left w:val="single" w:color="auto" w:sz="0" w:space="0"/>
              <w:bottom w:val="single" w:color="auto" w:sz="0" w:space="0"/>
              <w:right w:val="single" w:color="auto" w:sz="0" w:space="0"/>
            </w:tcBorders>
            <w:noWrap w:val="0"/>
            <w:vAlign w:val="center"/>
          </w:tcPr>
          <w:p w14:paraId="63E4327A">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c>
          <w:tcPr>
            <w:tcW w:w="253" w:type="pct"/>
            <w:vMerge w:val="continue"/>
            <w:tcBorders>
              <w:left w:val="single" w:color="auto" w:sz="0" w:space="0"/>
              <w:bottom w:val="single" w:color="auto" w:sz="0" w:space="0"/>
              <w:right w:val="single" w:color="auto" w:sz="0" w:space="0"/>
            </w:tcBorders>
            <w:noWrap w:val="0"/>
            <w:vAlign w:val="center"/>
          </w:tcPr>
          <w:p w14:paraId="0B853AEF">
            <w:pPr>
              <w:widowControl/>
              <w:snapToGrid w:val="0"/>
              <w:spacing w:line="360" w:lineRule="auto"/>
              <w:jc w:val="center"/>
              <w:rPr>
                <w:rFonts w:ascii="Calibri" w:hAnsi="Calibri" w:eastAsia="宋体" w:cs="Calibri"/>
                <w:color w:val="000000"/>
                <w:spacing w:val="-10"/>
                <w:kern w:val="0"/>
                <w:sz w:val="21"/>
                <w:szCs w:val="21"/>
                <w:lang w:val="en-US" w:eastAsia="zh-CN" w:bidi="ar-SA"/>
              </w:rPr>
            </w:pPr>
          </w:p>
        </w:tc>
      </w:tr>
      <w:tr w14:paraId="2512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56230A81">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一级指标</w:t>
            </w:r>
          </w:p>
        </w:tc>
        <w:tc>
          <w:tcPr>
            <w:tcW w:w="4610" w:type="pct"/>
            <w:gridSpan w:val="24"/>
            <w:tcBorders>
              <w:top w:val="single" w:color="auto" w:sz="0" w:space="0"/>
              <w:bottom w:val="single" w:color="auto" w:sz="0" w:space="0"/>
              <w:right w:val="single" w:color="auto" w:sz="0" w:space="0"/>
            </w:tcBorders>
            <w:shd w:val="clear" w:color="auto" w:fill="auto"/>
            <w:noWrap/>
            <w:vAlign w:val="center"/>
          </w:tcPr>
          <w:p w14:paraId="2A481E7F">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B</w:t>
            </w:r>
          </w:p>
        </w:tc>
      </w:tr>
      <w:tr w14:paraId="1EBB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3898BCD4">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一级指标分数</w:t>
            </w:r>
          </w:p>
        </w:tc>
        <w:tc>
          <w:tcPr>
            <w:tcW w:w="4610" w:type="pct"/>
            <w:gridSpan w:val="24"/>
            <w:tcBorders>
              <w:top w:val="single" w:color="auto" w:sz="0" w:space="0"/>
              <w:bottom w:val="single" w:color="auto" w:sz="0" w:space="0"/>
              <w:right w:val="single" w:color="auto" w:sz="0" w:space="0"/>
            </w:tcBorders>
            <w:shd w:val="clear" w:color="auto" w:fill="auto"/>
            <w:noWrap/>
            <w:vAlign w:val="center"/>
          </w:tcPr>
          <w:p w14:paraId="6CC6028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40</w:t>
            </w:r>
            <w:r>
              <w:rPr>
                <w:rFonts w:hint="eastAsia" w:ascii="宋体" w:hAnsi="宋体" w:eastAsia="宋体" w:cs="Calibri"/>
                <w:color w:val="000000"/>
                <w:spacing w:val="-10"/>
                <w:kern w:val="0"/>
                <w:sz w:val="21"/>
                <w:szCs w:val="21"/>
                <w:lang w:val="en-US" w:eastAsia="zh-CN" w:bidi="ar-SA"/>
              </w:rPr>
              <w:t>分</w:t>
            </w:r>
          </w:p>
        </w:tc>
      </w:tr>
      <w:tr w14:paraId="61C8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297D522D">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w:t>
            </w:r>
          </w:p>
        </w:tc>
        <w:tc>
          <w:tcPr>
            <w:tcW w:w="1344" w:type="pct"/>
            <w:gridSpan w:val="5"/>
            <w:tcBorders>
              <w:top w:val="single" w:color="auto" w:sz="0" w:space="0"/>
              <w:bottom w:val="single" w:color="auto" w:sz="0" w:space="0"/>
              <w:right w:val="single" w:color="auto" w:sz="0" w:space="0"/>
            </w:tcBorders>
            <w:shd w:val="clear" w:color="auto" w:fill="auto"/>
            <w:noWrap/>
            <w:vAlign w:val="center"/>
          </w:tcPr>
          <w:p w14:paraId="4BF0B125">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B1</w:t>
            </w:r>
          </w:p>
        </w:tc>
        <w:tc>
          <w:tcPr>
            <w:tcW w:w="1212" w:type="pct"/>
            <w:gridSpan w:val="5"/>
            <w:tcBorders>
              <w:top w:val="single" w:color="auto" w:sz="0" w:space="0"/>
              <w:bottom w:val="single" w:color="auto" w:sz="0" w:space="0"/>
              <w:right w:val="single" w:color="auto" w:sz="0" w:space="0"/>
            </w:tcBorders>
            <w:shd w:val="clear" w:color="auto" w:fill="auto"/>
            <w:noWrap/>
            <w:vAlign w:val="center"/>
          </w:tcPr>
          <w:p w14:paraId="71DA59E5">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B2</w:t>
            </w:r>
          </w:p>
        </w:tc>
        <w:tc>
          <w:tcPr>
            <w:tcW w:w="509" w:type="pct"/>
            <w:gridSpan w:val="4"/>
            <w:tcBorders>
              <w:top w:val="single" w:color="auto" w:sz="0" w:space="0"/>
              <w:bottom w:val="single" w:color="auto" w:sz="0" w:space="0"/>
              <w:right w:val="single" w:color="auto" w:sz="0" w:space="0"/>
            </w:tcBorders>
            <w:shd w:val="clear" w:color="auto" w:fill="auto"/>
            <w:noWrap/>
            <w:vAlign w:val="center"/>
          </w:tcPr>
          <w:p w14:paraId="15BC65AE">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B3</w:t>
            </w:r>
          </w:p>
        </w:tc>
        <w:tc>
          <w:tcPr>
            <w:tcW w:w="1545" w:type="pct"/>
            <w:gridSpan w:val="10"/>
            <w:tcBorders>
              <w:top w:val="single" w:color="auto" w:sz="0" w:space="0"/>
              <w:bottom w:val="single" w:color="auto" w:sz="0" w:space="0"/>
              <w:right w:val="single" w:color="auto" w:sz="0" w:space="0"/>
            </w:tcBorders>
            <w:shd w:val="clear" w:color="auto" w:fill="auto"/>
            <w:noWrap/>
            <w:vAlign w:val="center"/>
          </w:tcPr>
          <w:p w14:paraId="20A666E6">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B4</w:t>
            </w:r>
          </w:p>
        </w:tc>
      </w:tr>
      <w:tr w14:paraId="64D6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3D41CA13">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二级指标分数</w:t>
            </w:r>
          </w:p>
        </w:tc>
        <w:tc>
          <w:tcPr>
            <w:tcW w:w="1344" w:type="pct"/>
            <w:gridSpan w:val="5"/>
            <w:tcBorders>
              <w:top w:val="single" w:color="auto" w:sz="0" w:space="0"/>
              <w:bottom w:val="single" w:color="auto" w:sz="0" w:space="0"/>
              <w:right w:val="single" w:color="auto" w:sz="0" w:space="0"/>
            </w:tcBorders>
            <w:shd w:val="clear" w:color="auto" w:fill="auto"/>
            <w:noWrap/>
            <w:vAlign w:val="center"/>
          </w:tcPr>
          <w:p w14:paraId="690DBDB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20</w:t>
            </w:r>
            <w:r>
              <w:rPr>
                <w:rFonts w:hint="eastAsia" w:ascii="宋体" w:hAnsi="宋体" w:eastAsia="宋体" w:cs="Calibri"/>
                <w:color w:val="000000"/>
                <w:spacing w:val="-10"/>
                <w:kern w:val="0"/>
                <w:sz w:val="21"/>
                <w:szCs w:val="21"/>
                <w:lang w:val="en-US" w:eastAsia="zh-CN" w:bidi="ar-SA"/>
              </w:rPr>
              <w:t>分</w:t>
            </w:r>
          </w:p>
        </w:tc>
        <w:tc>
          <w:tcPr>
            <w:tcW w:w="1212" w:type="pct"/>
            <w:gridSpan w:val="5"/>
            <w:tcBorders>
              <w:top w:val="single" w:color="auto" w:sz="0" w:space="0"/>
              <w:bottom w:val="single" w:color="auto" w:sz="0" w:space="0"/>
              <w:right w:val="single" w:color="auto" w:sz="0" w:space="0"/>
            </w:tcBorders>
            <w:shd w:val="clear" w:color="auto" w:fill="auto"/>
            <w:noWrap/>
            <w:vAlign w:val="center"/>
          </w:tcPr>
          <w:p w14:paraId="1086C9F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10</w:t>
            </w:r>
            <w:r>
              <w:rPr>
                <w:rFonts w:hint="eastAsia" w:ascii="宋体" w:hAnsi="宋体" w:eastAsia="宋体" w:cs="Calibri"/>
                <w:color w:val="000000"/>
                <w:spacing w:val="-10"/>
                <w:kern w:val="0"/>
                <w:sz w:val="21"/>
                <w:szCs w:val="21"/>
                <w:lang w:val="en-US" w:eastAsia="zh-CN" w:bidi="ar-SA"/>
              </w:rPr>
              <w:t>分</w:t>
            </w:r>
          </w:p>
        </w:tc>
        <w:tc>
          <w:tcPr>
            <w:tcW w:w="509" w:type="pct"/>
            <w:gridSpan w:val="4"/>
            <w:tcBorders>
              <w:top w:val="single" w:color="auto" w:sz="0" w:space="0"/>
              <w:bottom w:val="single" w:color="auto" w:sz="0" w:space="0"/>
              <w:right w:val="single" w:color="auto" w:sz="0" w:space="0"/>
            </w:tcBorders>
            <w:shd w:val="clear" w:color="auto" w:fill="auto"/>
            <w:noWrap/>
            <w:vAlign w:val="center"/>
          </w:tcPr>
          <w:p w14:paraId="7EBBF48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p>
        </w:tc>
        <w:tc>
          <w:tcPr>
            <w:tcW w:w="1545" w:type="pct"/>
            <w:gridSpan w:val="10"/>
            <w:tcBorders>
              <w:top w:val="single" w:color="auto" w:sz="0" w:space="0"/>
              <w:bottom w:val="single" w:color="auto" w:sz="0" w:space="0"/>
              <w:right w:val="single" w:color="auto" w:sz="0" w:space="0"/>
            </w:tcBorders>
            <w:shd w:val="clear" w:color="auto" w:fill="auto"/>
            <w:noWrap/>
            <w:vAlign w:val="center"/>
          </w:tcPr>
          <w:p w14:paraId="1BD41BF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5</w:t>
            </w:r>
            <w:r>
              <w:rPr>
                <w:rFonts w:hint="eastAsia" w:ascii="宋体" w:hAnsi="宋体" w:eastAsia="宋体" w:cs="Calibri"/>
                <w:color w:val="000000"/>
                <w:spacing w:val="-10"/>
                <w:kern w:val="0"/>
                <w:sz w:val="21"/>
                <w:szCs w:val="21"/>
                <w:lang w:val="en-US" w:eastAsia="zh-CN" w:bidi="ar-SA"/>
              </w:rPr>
              <w:t>分</w:t>
            </w:r>
          </w:p>
        </w:tc>
      </w:tr>
      <w:tr w14:paraId="08BB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128F73A2">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二级指标赋分分数</w:t>
            </w:r>
          </w:p>
        </w:tc>
        <w:tc>
          <w:tcPr>
            <w:tcW w:w="264" w:type="pct"/>
            <w:tcBorders>
              <w:bottom w:val="single" w:color="auto" w:sz="0" w:space="0"/>
              <w:right w:val="single" w:color="auto" w:sz="0" w:space="0"/>
            </w:tcBorders>
            <w:shd w:val="clear" w:color="auto" w:fill="auto"/>
            <w:noWrap/>
            <w:vAlign w:val="center"/>
          </w:tcPr>
          <w:p w14:paraId="5C6E2AC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20</w:t>
            </w:r>
            <w:r>
              <w:rPr>
                <w:rFonts w:hint="eastAsia" w:ascii="宋体" w:hAnsi="宋体" w:eastAsia="宋体" w:cs="Calibri"/>
                <w:color w:val="000000"/>
                <w:spacing w:val="-10"/>
                <w:kern w:val="0"/>
                <w:sz w:val="21"/>
                <w:szCs w:val="21"/>
                <w:lang w:val="en-US" w:eastAsia="zh-CN" w:bidi="ar-SA"/>
              </w:rPr>
              <w:t>分</w:t>
            </w:r>
          </w:p>
        </w:tc>
        <w:tc>
          <w:tcPr>
            <w:tcW w:w="278" w:type="pct"/>
            <w:tcBorders>
              <w:bottom w:val="single" w:color="auto" w:sz="0" w:space="0"/>
              <w:right w:val="single" w:color="auto" w:sz="0" w:space="0"/>
            </w:tcBorders>
            <w:shd w:val="clear" w:color="auto" w:fill="auto"/>
            <w:noWrap/>
            <w:vAlign w:val="center"/>
          </w:tcPr>
          <w:p w14:paraId="386BC7A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15</w:t>
            </w:r>
            <w:r>
              <w:rPr>
                <w:rFonts w:hint="eastAsia" w:ascii="宋体" w:hAnsi="宋体" w:eastAsia="宋体" w:cs="Calibri"/>
                <w:color w:val="000000"/>
                <w:spacing w:val="-10"/>
                <w:kern w:val="0"/>
                <w:sz w:val="21"/>
                <w:szCs w:val="21"/>
                <w:lang w:val="en-US" w:eastAsia="zh-CN" w:bidi="ar-SA"/>
              </w:rPr>
              <w:t>分</w:t>
            </w:r>
          </w:p>
        </w:tc>
        <w:tc>
          <w:tcPr>
            <w:tcW w:w="279" w:type="pct"/>
            <w:tcBorders>
              <w:bottom w:val="single" w:color="auto" w:sz="0" w:space="0"/>
              <w:right w:val="single" w:color="auto" w:sz="0" w:space="0"/>
            </w:tcBorders>
            <w:shd w:val="clear" w:color="auto" w:fill="auto"/>
            <w:noWrap/>
            <w:vAlign w:val="center"/>
          </w:tcPr>
          <w:p w14:paraId="6348C8D8">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10</w:t>
            </w:r>
            <w:r>
              <w:rPr>
                <w:rFonts w:hint="eastAsia" w:ascii="宋体" w:hAnsi="宋体" w:eastAsia="宋体" w:cs="Calibri"/>
                <w:color w:val="000000"/>
                <w:spacing w:val="-10"/>
                <w:kern w:val="0"/>
                <w:sz w:val="21"/>
                <w:szCs w:val="21"/>
                <w:lang w:val="en-US" w:eastAsia="zh-CN" w:bidi="ar-SA"/>
              </w:rPr>
              <w:t>分</w:t>
            </w:r>
          </w:p>
        </w:tc>
        <w:tc>
          <w:tcPr>
            <w:tcW w:w="279" w:type="pct"/>
            <w:tcBorders>
              <w:bottom w:val="single" w:color="auto" w:sz="0" w:space="0"/>
              <w:right w:val="single" w:color="auto" w:sz="0" w:space="0"/>
            </w:tcBorders>
            <w:shd w:val="clear" w:color="auto" w:fill="auto"/>
            <w:noWrap/>
            <w:vAlign w:val="center"/>
          </w:tcPr>
          <w:p w14:paraId="6C8C2501">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5 </w:t>
            </w:r>
            <w:r>
              <w:rPr>
                <w:rFonts w:hint="eastAsia" w:ascii="宋体" w:hAnsi="宋体" w:eastAsia="宋体" w:cs="Calibri"/>
                <w:color w:val="000000"/>
                <w:spacing w:val="-10"/>
                <w:kern w:val="0"/>
                <w:sz w:val="21"/>
                <w:szCs w:val="21"/>
                <w:lang w:val="en-US" w:eastAsia="zh-CN" w:bidi="ar-SA"/>
              </w:rPr>
              <w:t>分</w:t>
            </w:r>
          </w:p>
        </w:tc>
        <w:tc>
          <w:tcPr>
            <w:tcW w:w="244" w:type="pct"/>
            <w:tcBorders>
              <w:bottom w:val="single" w:color="auto" w:sz="0" w:space="0"/>
              <w:right w:val="single" w:color="auto" w:sz="0" w:space="0"/>
            </w:tcBorders>
            <w:shd w:val="clear" w:color="auto" w:fill="auto"/>
            <w:noWrap/>
            <w:vAlign w:val="center"/>
          </w:tcPr>
          <w:p w14:paraId="16154B28">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1 </w:t>
            </w:r>
            <w:r>
              <w:rPr>
                <w:rFonts w:hint="eastAsia" w:ascii="宋体" w:hAnsi="宋体" w:eastAsia="宋体" w:cs="Calibri"/>
                <w:color w:val="000000"/>
                <w:spacing w:val="-10"/>
                <w:kern w:val="0"/>
                <w:sz w:val="21"/>
                <w:szCs w:val="21"/>
                <w:lang w:val="en-US" w:eastAsia="zh-CN" w:bidi="ar-SA"/>
              </w:rPr>
              <w:t>分</w:t>
            </w:r>
          </w:p>
        </w:tc>
        <w:tc>
          <w:tcPr>
            <w:tcW w:w="255" w:type="pct"/>
            <w:tcBorders>
              <w:bottom w:val="single" w:color="auto" w:sz="0" w:space="0"/>
              <w:right w:val="single" w:color="auto" w:sz="0" w:space="0"/>
            </w:tcBorders>
            <w:shd w:val="clear" w:color="auto" w:fill="auto"/>
            <w:noWrap/>
            <w:vAlign w:val="center"/>
          </w:tcPr>
          <w:p w14:paraId="0A5CBF7A">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10</w:t>
            </w:r>
            <w:r>
              <w:rPr>
                <w:rFonts w:hint="eastAsia" w:ascii="宋体" w:hAnsi="宋体" w:eastAsia="宋体" w:cs="Calibri"/>
                <w:color w:val="000000"/>
                <w:spacing w:val="-10"/>
                <w:kern w:val="0"/>
                <w:sz w:val="21"/>
                <w:szCs w:val="21"/>
                <w:lang w:val="en-US" w:eastAsia="zh-CN" w:bidi="ar-SA"/>
              </w:rPr>
              <w:t>分</w:t>
            </w:r>
          </w:p>
        </w:tc>
        <w:tc>
          <w:tcPr>
            <w:tcW w:w="237" w:type="pct"/>
            <w:tcBorders>
              <w:bottom w:val="single" w:color="auto" w:sz="0" w:space="0"/>
              <w:right w:val="single" w:color="auto" w:sz="0" w:space="0"/>
            </w:tcBorders>
            <w:shd w:val="clear" w:color="auto" w:fill="auto"/>
            <w:noWrap/>
            <w:vAlign w:val="center"/>
          </w:tcPr>
          <w:p w14:paraId="635270E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8 </w:t>
            </w:r>
            <w:r>
              <w:rPr>
                <w:rFonts w:hint="eastAsia" w:ascii="宋体" w:hAnsi="宋体" w:eastAsia="宋体" w:cs="Calibri"/>
                <w:color w:val="000000"/>
                <w:spacing w:val="-10"/>
                <w:kern w:val="0"/>
                <w:sz w:val="21"/>
                <w:szCs w:val="21"/>
                <w:lang w:val="en-US" w:eastAsia="zh-CN" w:bidi="ar-SA"/>
              </w:rPr>
              <w:t>分</w:t>
            </w:r>
          </w:p>
        </w:tc>
        <w:tc>
          <w:tcPr>
            <w:tcW w:w="240" w:type="pct"/>
            <w:tcBorders>
              <w:bottom w:val="single" w:color="auto" w:sz="0" w:space="0"/>
              <w:right w:val="single" w:color="auto" w:sz="0" w:space="0"/>
            </w:tcBorders>
            <w:shd w:val="clear" w:color="auto" w:fill="auto"/>
            <w:noWrap/>
            <w:vAlign w:val="center"/>
          </w:tcPr>
          <w:p w14:paraId="1FDD990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6 </w:t>
            </w:r>
            <w:r>
              <w:rPr>
                <w:rFonts w:hint="eastAsia" w:ascii="宋体" w:hAnsi="宋体" w:eastAsia="宋体" w:cs="Calibri"/>
                <w:color w:val="000000"/>
                <w:spacing w:val="-10"/>
                <w:kern w:val="0"/>
                <w:sz w:val="21"/>
                <w:szCs w:val="21"/>
                <w:lang w:val="en-US" w:eastAsia="zh-CN" w:bidi="ar-SA"/>
              </w:rPr>
              <w:t>分</w:t>
            </w:r>
          </w:p>
        </w:tc>
        <w:tc>
          <w:tcPr>
            <w:tcW w:w="237" w:type="pct"/>
            <w:tcBorders>
              <w:bottom w:val="single" w:color="auto" w:sz="0" w:space="0"/>
              <w:right w:val="single" w:color="auto" w:sz="0" w:space="0"/>
            </w:tcBorders>
            <w:shd w:val="clear" w:color="auto" w:fill="auto"/>
            <w:noWrap/>
            <w:vAlign w:val="center"/>
          </w:tcPr>
          <w:p w14:paraId="2393336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4 </w:t>
            </w:r>
            <w:r>
              <w:rPr>
                <w:rFonts w:hint="eastAsia" w:ascii="宋体" w:hAnsi="宋体" w:eastAsia="宋体" w:cs="Calibri"/>
                <w:color w:val="000000"/>
                <w:spacing w:val="-10"/>
                <w:kern w:val="0"/>
                <w:sz w:val="21"/>
                <w:szCs w:val="21"/>
                <w:lang w:val="en-US" w:eastAsia="zh-CN" w:bidi="ar-SA"/>
              </w:rPr>
              <w:t>分</w:t>
            </w:r>
          </w:p>
        </w:tc>
        <w:tc>
          <w:tcPr>
            <w:tcW w:w="243" w:type="pct"/>
            <w:tcBorders>
              <w:bottom w:val="single" w:color="auto" w:sz="0" w:space="0"/>
              <w:right w:val="single" w:color="auto" w:sz="0" w:space="0"/>
            </w:tcBorders>
            <w:shd w:val="clear" w:color="auto" w:fill="auto"/>
            <w:noWrap/>
            <w:vAlign w:val="center"/>
          </w:tcPr>
          <w:p w14:paraId="48994C24">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2 </w:t>
            </w:r>
            <w:r>
              <w:rPr>
                <w:rFonts w:hint="eastAsia" w:ascii="宋体" w:hAnsi="宋体" w:eastAsia="宋体" w:cs="Calibri"/>
                <w:color w:val="000000"/>
                <w:spacing w:val="-10"/>
                <w:kern w:val="0"/>
                <w:sz w:val="21"/>
                <w:szCs w:val="21"/>
                <w:lang w:val="en-US" w:eastAsia="zh-CN" w:bidi="ar-SA"/>
              </w:rPr>
              <w:t>分</w:t>
            </w:r>
          </w:p>
        </w:tc>
        <w:tc>
          <w:tcPr>
            <w:tcW w:w="241" w:type="pct"/>
            <w:gridSpan w:val="2"/>
            <w:tcBorders>
              <w:bottom w:val="single" w:color="auto" w:sz="0" w:space="0"/>
              <w:right w:val="single" w:color="auto" w:sz="0" w:space="0"/>
            </w:tcBorders>
            <w:shd w:val="clear" w:color="auto" w:fill="auto"/>
            <w:noWrap/>
            <w:vAlign w:val="center"/>
          </w:tcPr>
          <w:p w14:paraId="71946559">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5 </w:t>
            </w:r>
            <w:r>
              <w:rPr>
                <w:rFonts w:hint="eastAsia" w:ascii="宋体" w:hAnsi="宋体" w:eastAsia="宋体" w:cs="Calibri"/>
                <w:color w:val="000000"/>
                <w:spacing w:val="-10"/>
                <w:kern w:val="0"/>
                <w:sz w:val="21"/>
                <w:szCs w:val="21"/>
                <w:lang w:val="en-US" w:eastAsia="zh-CN" w:bidi="ar-SA"/>
              </w:rPr>
              <w:t>分</w:t>
            </w:r>
          </w:p>
        </w:tc>
        <w:tc>
          <w:tcPr>
            <w:tcW w:w="268" w:type="pct"/>
            <w:gridSpan w:val="2"/>
            <w:tcBorders>
              <w:bottom w:val="single" w:color="auto" w:sz="0" w:space="0"/>
              <w:right w:val="single" w:color="auto" w:sz="0" w:space="0"/>
            </w:tcBorders>
            <w:shd w:val="clear" w:color="auto" w:fill="auto"/>
            <w:noWrap/>
            <w:vAlign w:val="center"/>
          </w:tcPr>
          <w:p w14:paraId="4E96552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0 </w:t>
            </w:r>
            <w:r>
              <w:rPr>
                <w:rFonts w:hint="eastAsia" w:ascii="宋体" w:hAnsi="宋体" w:eastAsia="宋体" w:cs="Calibri"/>
                <w:color w:val="000000"/>
                <w:spacing w:val="-10"/>
                <w:kern w:val="0"/>
                <w:sz w:val="21"/>
                <w:szCs w:val="21"/>
                <w:lang w:val="en-US" w:eastAsia="zh-CN" w:bidi="ar-SA"/>
              </w:rPr>
              <w:t>分</w:t>
            </w:r>
          </w:p>
        </w:tc>
        <w:tc>
          <w:tcPr>
            <w:tcW w:w="239" w:type="pct"/>
            <w:gridSpan w:val="2"/>
            <w:tcBorders>
              <w:bottom w:val="single" w:color="auto" w:sz="0" w:space="0"/>
              <w:right w:val="single" w:color="auto" w:sz="0" w:space="0"/>
            </w:tcBorders>
            <w:shd w:val="clear" w:color="auto" w:fill="auto"/>
            <w:noWrap/>
            <w:vAlign w:val="center"/>
          </w:tcPr>
          <w:p w14:paraId="57C2EA01">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5 </w:t>
            </w:r>
            <w:r>
              <w:rPr>
                <w:rFonts w:hint="eastAsia" w:ascii="宋体" w:hAnsi="宋体" w:eastAsia="宋体" w:cs="Calibri"/>
                <w:color w:val="000000"/>
                <w:spacing w:val="-10"/>
                <w:kern w:val="0"/>
                <w:sz w:val="21"/>
                <w:szCs w:val="21"/>
                <w:lang w:val="en-US" w:eastAsia="zh-CN" w:bidi="ar-SA"/>
              </w:rPr>
              <w:t>分</w:t>
            </w:r>
          </w:p>
        </w:tc>
        <w:tc>
          <w:tcPr>
            <w:tcW w:w="280" w:type="pct"/>
            <w:gridSpan w:val="2"/>
            <w:tcBorders>
              <w:bottom w:val="single" w:color="auto" w:sz="0" w:space="0"/>
              <w:right w:val="single" w:color="auto" w:sz="0" w:space="0"/>
            </w:tcBorders>
            <w:shd w:val="clear" w:color="auto" w:fill="auto"/>
            <w:noWrap/>
            <w:vAlign w:val="center"/>
          </w:tcPr>
          <w:p w14:paraId="34D99CFC">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4 </w:t>
            </w:r>
            <w:r>
              <w:rPr>
                <w:rFonts w:hint="eastAsia" w:ascii="宋体" w:hAnsi="宋体" w:eastAsia="宋体" w:cs="Calibri"/>
                <w:color w:val="000000"/>
                <w:spacing w:val="-10"/>
                <w:kern w:val="0"/>
                <w:sz w:val="21"/>
                <w:szCs w:val="21"/>
                <w:lang w:val="en-US" w:eastAsia="zh-CN" w:bidi="ar-SA"/>
              </w:rPr>
              <w:t>分</w:t>
            </w:r>
          </w:p>
        </w:tc>
        <w:tc>
          <w:tcPr>
            <w:tcW w:w="266" w:type="pct"/>
            <w:tcBorders>
              <w:bottom w:val="single" w:color="auto" w:sz="0" w:space="0"/>
              <w:right w:val="single" w:color="auto" w:sz="0" w:space="0"/>
            </w:tcBorders>
            <w:shd w:val="clear" w:color="auto" w:fill="auto"/>
            <w:noWrap/>
            <w:vAlign w:val="center"/>
          </w:tcPr>
          <w:p w14:paraId="288E75E4">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3 </w:t>
            </w:r>
            <w:r>
              <w:rPr>
                <w:rFonts w:hint="eastAsia" w:ascii="宋体" w:hAnsi="宋体" w:eastAsia="宋体" w:cs="Calibri"/>
                <w:color w:val="000000"/>
                <w:spacing w:val="-10"/>
                <w:kern w:val="0"/>
                <w:sz w:val="21"/>
                <w:szCs w:val="21"/>
                <w:lang w:val="en-US" w:eastAsia="zh-CN" w:bidi="ar-SA"/>
              </w:rPr>
              <w:t>分</w:t>
            </w:r>
          </w:p>
        </w:tc>
        <w:tc>
          <w:tcPr>
            <w:tcW w:w="257" w:type="pct"/>
            <w:gridSpan w:val="2"/>
            <w:tcBorders>
              <w:bottom w:val="single" w:color="auto" w:sz="0" w:space="0"/>
              <w:right w:val="single" w:color="auto" w:sz="0" w:space="0"/>
            </w:tcBorders>
            <w:shd w:val="clear" w:color="auto" w:fill="auto"/>
            <w:noWrap/>
            <w:vAlign w:val="center"/>
          </w:tcPr>
          <w:p w14:paraId="40331EF0">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2 </w:t>
            </w:r>
            <w:r>
              <w:rPr>
                <w:rFonts w:hint="eastAsia" w:ascii="宋体" w:hAnsi="宋体" w:eastAsia="宋体" w:cs="Calibri"/>
                <w:color w:val="000000"/>
                <w:spacing w:val="-10"/>
                <w:kern w:val="0"/>
                <w:sz w:val="21"/>
                <w:szCs w:val="21"/>
                <w:lang w:val="en-US" w:eastAsia="zh-CN" w:bidi="ar-SA"/>
              </w:rPr>
              <w:t>分</w:t>
            </w:r>
          </w:p>
        </w:tc>
        <w:tc>
          <w:tcPr>
            <w:tcW w:w="250" w:type="pct"/>
            <w:gridSpan w:val="2"/>
            <w:tcBorders>
              <w:bottom w:val="single" w:color="auto" w:sz="0" w:space="0"/>
              <w:right w:val="single" w:color="auto" w:sz="0" w:space="0"/>
            </w:tcBorders>
            <w:shd w:val="clear" w:color="auto" w:fill="auto"/>
            <w:noWrap/>
            <w:vAlign w:val="center"/>
          </w:tcPr>
          <w:p w14:paraId="03ED9FA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1 </w:t>
            </w:r>
            <w:r>
              <w:rPr>
                <w:rFonts w:hint="eastAsia" w:ascii="宋体" w:hAnsi="宋体" w:eastAsia="宋体" w:cs="Calibri"/>
                <w:color w:val="000000"/>
                <w:spacing w:val="-10"/>
                <w:kern w:val="0"/>
                <w:sz w:val="21"/>
                <w:szCs w:val="21"/>
                <w:lang w:val="en-US" w:eastAsia="zh-CN" w:bidi="ar-SA"/>
              </w:rPr>
              <w:t>分</w:t>
            </w:r>
          </w:p>
        </w:tc>
        <w:tc>
          <w:tcPr>
            <w:tcW w:w="253" w:type="pct"/>
            <w:tcBorders>
              <w:bottom w:val="single" w:color="auto" w:sz="0" w:space="0"/>
              <w:right w:val="single" w:color="auto" w:sz="0" w:space="0"/>
            </w:tcBorders>
            <w:shd w:val="clear" w:color="auto" w:fill="auto"/>
            <w:noWrap/>
            <w:vAlign w:val="center"/>
          </w:tcPr>
          <w:p w14:paraId="3B5FCED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 xml:space="preserve">0 </w:t>
            </w:r>
            <w:r>
              <w:rPr>
                <w:rFonts w:hint="eastAsia" w:ascii="宋体" w:hAnsi="宋体" w:eastAsia="宋体" w:cs="Calibri"/>
                <w:color w:val="000000"/>
                <w:spacing w:val="-10"/>
                <w:kern w:val="0"/>
                <w:sz w:val="21"/>
                <w:szCs w:val="21"/>
                <w:lang w:val="en-US" w:eastAsia="zh-CN" w:bidi="ar-SA"/>
              </w:rPr>
              <w:t>分</w:t>
            </w:r>
          </w:p>
        </w:tc>
      </w:tr>
      <w:tr w14:paraId="0884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3E67B12D">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二级指标赋分比例</w:t>
            </w:r>
          </w:p>
        </w:tc>
        <w:tc>
          <w:tcPr>
            <w:tcW w:w="264" w:type="pct"/>
            <w:tcBorders>
              <w:bottom w:val="single" w:color="auto" w:sz="0" w:space="0"/>
              <w:right w:val="single" w:color="auto" w:sz="0" w:space="0"/>
            </w:tcBorders>
            <w:shd w:val="clear" w:color="auto" w:fill="auto"/>
            <w:noWrap/>
            <w:vAlign w:val="center"/>
          </w:tcPr>
          <w:p w14:paraId="4BEA2681">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前15%</w:t>
            </w:r>
          </w:p>
        </w:tc>
        <w:tc>
          <w:tcPr>
            <w:tcW w:w="278" w:type="pct"/>
            <w:tcBorders>
              <w:bottom w:val="single" w:color="auto" w:sz="0" w:space="0"/>
              <w:right w:val="single" w:color="auto" w:sz="0" w:space="0"/>
            </w:tcBorders>
            <w:shd w:val="clear" w:color="auto" w:fill="auto"/>
            <w:noWrap/>
            <w:vAlign w:val="center"/>
          </w:tcPr>
          <w:p w14:paraId="48C2A79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排名16-</w:t>
            </w:r>
            <w:r>
              <w:rPr>
                <w:rFonts w:ascii="Calibri" w:hAnsi="Calibri" w:eastAsia="宋体" w:cs="Calibri"/>
                <w:color w:val="000000"/>
                <w:spacing w:val="-10"/>
                <w:kern w:val="0"/>
                <w:sz w:val="21"/>
                <w:szCs w:val="21"/>
                <w:lang w:val="en-US" w:eastAsia="zh-CN" w:bidi="ar-SA"/>
              </w:rPr>
              <w:t>50%</w:t>
            </w:r>
          </w:p>
        </w:tc>
        <w:tc>
          <w:tcPr>
            <w:tcW w:w="279" w:type="pct"/>
            <w:tcBorders>
              <w:bottom w:val="single" w:color="auto" w:sz="0" w:space="0"/>
              <w:right w:val="single" w:color="auto" w:sz="0" w:space="0"/>
            </w:tcBorders>
            <w:shd w:val="clear" w:color="auto" w:fill="auto"/>
            <w:noWrap/>
            <w:vAlign w:val="center"/>
          </w:tcPr>
          <w:p w14:paraId="64330800">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排名51-8</w:t>
            </w:r>
            <w:r>
              <w:rPr>
                <w:rFonts w:ascii="Calibri" w:hAnsi="Calibri" w:eastAsia="宋体" w:cs="Calibri"/>
                <w:color w:val="000000"/>
                <w:spacing w:val="-10"/>
                <w:kern w:val="0"/>
                <w:sz w:val="21"/>
                <w:szCs w:val="21"/>
                <w:lang w:val="en-US" w:eastAsia="zh-CN" w:bidi="ar-SA"/>
              </w:rPr>
              <w:t>5%</w:t>
            </w:r>
          </w:p>
        </w:tc>
        <w:tc>
          <w:tcPr>
            <w:tcW w:w="279" w:type="pct"/>
            <w:tcBorders>
              <w:bottom w:val="single" w:color="auto" w:sz="0" w:space="0"/>
              <w:right w:val="single" w:color="auto" w:sz="0" w:space="0"/>
            </w:tcBorders>
            <w:shd w:val="clear" w:color="auto" w:fill="auto"/>
            <w:noWrap/>
            <w:vAlign w:val="center"/>
          </w:tcPr>
          <w:p w14:paraId="4BA3741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排名86-</w:t>
            </w:r>
            <w:r>
              <w:rPr>
                <w:rFonts w:ascii="Calibri" w:hAnsi="Calibri" w:eastAsia="宋体" w:cs="Calibri"/>
                <w:color w:val="000000"/>
                <w:spacing w:val="-10"/>
                <w:kern w:val="0"/>
                <w:sz w:val="21"/>
                <w:szCs w:val="21"/>
                <w:lang w:val="en-US" w:eastAsia="zh-CN" w:bidi="ar-SA"/>
              </w:rPr>
              <w:t>95%</w:t>
            </w:r>
          </w:p>
        </w:tc>
        <w:tc>
          <w:tcPr>
            <w:tcW w:w="244" w:type="pct"/>
            <w:tcBorders>
              <w:bottom w:val="single" w:color="auto" w:sz="0" w:space="0"/>
              <w:right w:val="single" w:color="auto" w:sz="0" w:space="0"/>
            </w:tcBorders>
            <w:shd w:val="clear" w:color="auto" w:fill="auto"/>
            <w:noWrap/>
            <w:vAlign w:val="center"/>
          </w:tcPr>
          <w:p w14:paraId="217F266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后5%</w:t>
            </w:r>
          </w:p>
        </w:tc>
        <w:tc>
          <w:tcPr>
            <w:tcW w:w="255" w:type="pct"/>
            <w:tcBorders>
              <w:bottom w:val="single" w:color="auto" w:sz="0" w:space="0"/>
              <w:right w:val="single" w:color="auto" w:sz="0" w:space="0"/>
            </w:tcBorders>
            <w:shd w:val="clear" w:color="auto" w:fill="auto"/>
            <w:noWrap/>
            <w:vAlign w:val="center"/>
          </w:tcPr>
          <w:p w14:paraId="0899162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前15%</w:t>
            </w:r>
          </w:p>
        </w:tc>
        <w:tc>
          <w:tcPr>
            <w:tcW w:w="237" w:type="pct"/>
            <w:tcBorders>
              <w:bottom w:val="single" w:color="auto" w:sz="0" w:space="0"/>
              <w:right w:val="single" w:color="auto" w:sz="0" w:space="0"/>
            </w:tcBorders>
            <w:shd w:val="clear" w:color="auto" w:fill="auto"/>
            <w:noWrap/>
            <w:vAlign w:val="center"/>
          </w:tcPr>
          <w:p w14:paraId="104B53E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排名16-</w:t>
            </w:r>
            <w:r>
              <w:rPr>
                <w:rFonts w:ascii="Calibri" w:hAnsi="Calibri" w:eastAsia="宋体" w:cs="Calibri"/>
                <w:color w:val="000000"/>
                <w:spacing w:val="-10"/>
                <w:kern w:val="0"/>
                <w:sz w:val="21"/>
                <w:szCs w:val="21"/>
                <w:lang w:val="en-US" w:eastAsia="zh-CN" w:bidi="ar-SA"/>
              </w:rPr>
              <w:t>50%</w:t>
            </w:r>
          </w:p>
        </w:tc>
        <w:tc>
          <w:tcPr>
            <w:tcW w:w="240" w:type="pct"/>
            <w:tcBorders>
              <w:bottom w:val="single" w:color="auto" w:sz="0" w:space="0"/>
              <w:right w:val="single" w:color="auto" w:sz="0" w:space="0"/>
            </w:tcBorders>
            <w:shd w:val="clear" w:color="auto" w:fill="auto"/>
            <w:noWrap/>
            <w:vAlign w:val="center"/>
          </w:tcPr>
          <w:p w14:paraId="78205269">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排名51-8</w:t>
            </w:r>
            <w:r>
              <w:rPr>
                <w:rFonts w:ascii="Calibri" w:hAnsi="Calibri" w:eastAsia="宋体" w:cs="Calibri"/>
                <w:color w:val="000000"/>
                <w:spacing w:val="-10"/>
                <w:kern w:val="0"/>
                <w:sz w:val="21"/>
                <w:szCs w:val="21"/>
                <w:lang w:val="en-US" w:eastAsia="zh-CN" w:bidi="ar-SA"/>
              </w:rPr>
              <w:t>5%</w:t>
            </w:r>
          </w:p>
        </w:tc>
        <w:tc>
          <w:tcPr>
            <w:tcW w:w="237" w:type="pct"/>
            <w:tcBorders>
              <w:bottom w:val="single" w:color="auto" w:sz="0" w:space="0"/>
              <w:right w:val="single" w:color="auto" w:sz="0" w:space="0"/>
            </w:tcBorders>
            <w:shd w:val="clear" w:color="auto" w:fill="auto"/>
            <w:noWrap/>
            <w:vAlign w:val="center"/>
          </w:tcPr>
          <w:p w14:paraId="5325733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排名86-</w:t>
            </w:r>
            <w:r>
              <w:rPr>
                <w:rFonts w:ascii="Calibri" w:hAnsi="Calibri" w:eastAsia="宋体" w:cs="Calibri"/>
                <w:color w:val="000000"/>
                <w:spacing w:val="-10"/>
                <w:kern w:val="0"/>
                <w:sz w:val="21"/>
                <w:szCs w:val="21"/>
                <w:lang w:val="en-US" w:eastAsia="zh-CN" w:bidi="ar-SA"/>
              </w:rPr>
              <w:t>95%</w:t>
            </w:r>
          </w:p>
        </w:tc>
        <w:tc>
          <w:tcPr>
            <w:tcW w:w="243" w:type="pct"/>
            <w:tcBorders>
              <w:bottom w:val="single" w:color="auto" w:sz="0" w:space="0"/>
              <w:right w:val="single" w:color="auto" w:sz="0" w:space="0"/>
            </w:tcBorders>
            <w:shd w:val="clear" w:color="auto" w:fill="auto"/>
            <w:noWrap/>
            <w:vAlign w:val="center"/>
          </w:tcPr>
          <w:p w14:paraId="1A8A8EE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后5%</w:t>
            </w:r>
          </w:p>
        </w:tc>
        <w:tc>
          <w:tcPr>
            <w:tcW w:w="241" w:type="pct"/>
            <w:gridSpan w:val="2"/>
            <w:tcBorders>
              <w:bottom w:val="single" w:color="auto" w:sz="0" w:space="0"/>
              <w:right w:val="single" w:color="auto" w:sz="0" w:space="0"/>
            </w:tcBorders>
            <w:shd w:val="clear" w:color="auto" w:fill="auto"/>
            <w:noWrap w:val="0"/>
            <w:vAlign w:val="center"/>
          </w:tcPr>
          <w:p w14:paraId="1CF048D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有</w:t>
            </w:r>
          </w:p>
        </w:tc>
        <w:tc>
          <w:tcPr>
            <w:tcW w:w="268" w:type="pct"/>
            <w:gridSpan w:val="2"/>
            <w:tcBorders>
              <w:bottom w:val="single" w:color="auto" w:sz="0" w:space="0"/>
              <w:right w:val="single" w:color="auto" w:sz="0" w:space="0"/>
            </w:tcBorders>
            <w:shd w:val="clear" w:color="auto" w:fill="auto"/>
            <w:noWrap w:val="0"/>
            <w:vAlign w:val="center"/>
          </w:tcPr>
          <w:p w14:paraId="66D89AF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无</w:t>
            </w:r>
          </w:p>
        </w:tc>
        <w:tc>
          <w:tcPr>
            <w:tcW w:w="239" w:type="pct"/>
            <w:gridSpan w:val="2"/>
            <w:tcBorders>
              <w:bottom w:val="single" w:color="auto" w:sz="0" w:space="0"/>
              <w:right w:val="single" w:color="auto" w:sz="0" w:space="0"/>
            </w:tcBorders>
            <w:shd w:val="clear" w:color="auto" w:fill="auto"/>
            <w:noWrap/>
            <w:vAlign w:val="center"/>
          </w:tcPr>
          <w:p w14:paraId="0FA088D4">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前15%</w:t>
            </w:r>
          </w:p>
        </w:tc>
        <w:tc>
          <w:tcPr>
            <w:tcW w:w="280" w:type="pct"/>
            <w:gridSpan w:val="2"/>
            <w:tcBorders>
              <w:bottom w:val="single" w:color="auto" w:sz="0" w:space="0"/>
              <w:right w:val="single" w:color="auto" w:sz="0" w:space="0"/>
            </w:tcBorders>
            <w:shd w:val="clear" w:color="auto" w:fill="auto"/>
            <w:noWrap/>
            <w:vAlign w:val="center"/>
          </w:tcPr>
          <w:p w14:paraId="0D5AB129">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排名16-</w:t>
            </w:r>
            <w:r>
              <w:rPr>
                <w:rFonts w:ascii="Calibri" w:hAnsi="Calibri" w:eastAsia="宋体" w:cs="Calibri"/>
                <w:color w:val="000000"/>
                <w:spacing w:val="-10"/>
                <w:kern w:val="0"/>
                <w:sz w:val="21"/>
                <w:szCs w:val="21"/>
                <w:lang w:val="en-US" w:eastAsia="zh-CN" w:bidi="ar-SA"/>
              </w:rPr>
              <w:t>50%</w:t>
            </w:r>
          </w:p>
        </w:tc>
        <w:tc>
          <w:tcPr>
            <w:tcW w:w="266" w:type="pct"/>
            <w:tcBorders>
              <w:bottom w:val="single" w:color="auto" w:sz="0" w:space="0"/>
              <w:right w:val="single" w:color="auto" w:sz="0" w:space="0"/>
            </w:tcBorders>
            <w:shd w:val="clear" w:color="auto" w:fill="auto"/>
            <w:noWrap/>
            <w:vAlign w:val="center"/>
          </w:tcPr>
          <w:p w14:paraId="6BB4AB1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排名51-8</w:t>
            </w:r>
            <w:r>
              <w:rPr>
                <w:rFonts w:ascii="Calibri" w:hAnsi="Calibri" w:eastAsia="宋体" w:cs="Calibri"/>
                <w:color w:val="000000"/>
                <w:spacing w:val="-10"/>
                <w:kern w:val="0"/>
                <w:sz w:val="21"/>
                <w:szCs w:val="21"/>
                <w:lang w:val="en-US" w:eastAsia="zh-CN" w:bidi="ar-SA"/>
              </w:rPr>
              <w:t>5%</w:t>
            </w:r>
          </w:p>
        </w:tc>
        <w:tc>
          <w:tcPr>
            <w:tcW w:w="257" w:type="pct"/>
            <w:gridSpan w:val="2"/>
            <w:tcBorders>
              <w:bottom w:val="single" w:color="auto" w:sz="0" w:space="0"/>
              <w:right w:val="single" w:color="auto" w:sz="0" w:space="0"/>
            </w:tcBorders>
            <w:shd w:val="clear" w:color="auto" w:fill="auto"/>
            <w:noWrap/>
            <w:vAlign w:val="center"/>
          </w:tcPr>
          <w:p w14:paraId="56DECC81">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排名86-</w:t>
            </w:r>
            <w:r>
              <w:rPr>
                <w:rFonts w:ascii="Calibri" w:hAnsi="Calibri" w:eastAsia="宋体" w:cs="Calibri"/>
                <w:color w:val="000000"/>
                <w:spacing w:val="-10"/>
                <w:kern w:val="0"/>
                <w:sz w:val="21"/>
                <w:szCs w:val="21"/>
                <w:lang w:val="en-US" w:eastAsia="zh-CN" w:bidi="ar-SA"/>
              </w:rPr>
              <w:t>95%</w:t>
            </w:r>
          </w:p>
        </w:tc>
        <w:tc>
          <w:tcPr>
            <w:tcW w:w="250" w:type="pct"/>
            <w:gridSpan w:val="2"/>
            <w:tcBorders>
              <w:bottom w:val="single" w:color="auto" w:sz="0" w:space="0"/>
              <w:right w:val="single" w:color="auto" w:sz="0" w:space="0"/>
            </w:tcBorders>
            <w:shd w:val="clear" w:color="auto" w:fill="auto"/>
            <w:noWrap/>
            <w:vAlign w:val="center"/>
          </w:tcPr>
          <w:p w14:paraId="3063BD60">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后5%</w:t>
            </w:r>
          </w:p>
        </w:tc>
        <w:tc>
          <w:tcPr>
            <w:tcW w:w="253" w:type="pct"/>
            <w:tcBorders>
              <w:bottom w:val="single" w:color="auto" w:sz="0" w:space="0"/>
              <w:right w:val="single" w:color="auto" w:sz="0" w:space="0"/>
            </w:tcBorders>
            <w:shd w:val="clear" w:color="auto" w:fill="auto"/>
            <w:noWrap w:val="0"/>
            <w:vAlign w:val="center"/>
          </w:tcPr>
          <w:p w14:paraId="611E338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出现负分归零</w:t>
            </w:r>
          </w:p>
        </w:tc>
      </w:tr>
      <w:tr w14:paraId="6D28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right w:val="single" w:color="auto" w:sz="0" w:space="0"/>
            </w:tcBorders>
            <w:shd w:val="clear" w:color="auto" w:fill="auto"/>
            <w:noWrap/>
            <w:vAlign w:val="center"/>
          </w:tcPr>
          <w:p w14:paraId="0C4B8AE6">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一级指标</w:t>
            </w:r>
          </w:p>
        </w:tc>
        <w:tc>
          <w:tcPr>
            <w:tcW w:w="4610" w:type="pct"/>
            <w:gridSpan w:val="24"/>
            <w:tcBorders>
              <w:top w:val="single" w:color="auto" w:sz="0" w:space="0"/>
              <w:bottom w:val="single" w:color="auto" w:sz="0" w:space="0"/>
              <w:right w:val="single" w:color="auto" w:sz="0" w:space="0"/>
            </w:tcBorders>
            <w:shd w:val="clear" w:color="auto" w:fill="auto"/>
            <w:noWrap/>
            <w:vAlign w:val="center"/>
          </w:tcPr>
          <w:p w14:paraId="21E2B0CE">
            <w:pPr>
              <w:widowControl/>
              <w:snapToGrid w:val="0"/>
              <w:spacing w:line="360" w:lineRule="auto"/>
              <w:jc w:val="center"/>
              <w:rPr>
                <w:rFonts w:ascii="Calibri" w:hAnsi="Calibri" w:eastAsia="宋体" w:cs="Calibri"/>
                <w:b/>
                <w:bCs/>
                <w:color w:val="000000"/>
                <w:spacing w:val="-10"/>
                <w:kern w:val="0"/>
                <w:sz w:val="21"/>
                <w:szCs w:val="21"/>
                <w:lang w:val="en-US" w:eastAsia="zh-CN" w:bidi="ar-SA"/>
              </w:rPr>
            </w:pPr>
            <w:r>
              <w:rPr>
                <w:rFonts w:ascii="Calibri" w:hAnsi="Calibri" w:eastAsia="宋体" w:cs="Calibri"/>
                <w:b/>
                <w:bCs/>
                <w:color w:val="000000"/>
                <w:spacing w:val="-10"/>
                <w:kern w:val="0"/>
                <w:sz w:val="21"/>
                <w:szCs w:val="21"/>
                <w:lang w:val="en-US" w:eastAsia="zh-CN" w:bidi="ar-SA"/>
              </w:rPr>
              <w:t>C</w:t>
            </w:r>
          </w:p>
        </w:tc>
      </w:tr>
      <w:tr w14:paraId="465C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tcBorders>
            <w:shd w:val="clear" w:color="auto" w:fill="auto"/>
            <w:noWrap/>
            <w:vAlign w:val="center"/>
          </w:tcPr>
          <w:p w14:paraId="5E021932">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一级指标分数</w:t>
            </w:r>
          </w:p>
        </w:tc>
        <w:tc>
          <w:tcPr>
            <w:tcW w:w="4610" w:type="pct"/>
            <w:gridSpan w:val="24"/>
            <w:tcBorders>
              <w:top w:val="single" w:color="auto" w:sz="0" w:space="0"/>
              <w:left w:val="single" w:color="auto" w:sz="0" w:space="0"/>
              <w:bottom w:val="single" w:color="auto" w:sz="0" w:space="0"/>
              <w:right w:val="single" w:color="auto" w:sz="0" w:space="0"/>
            </w:tcBorders>
            <w:shd w:val="clear" w:color="auto" w:fill="auto"/>
            <w:noWrap/>
            <w:vAlign w:val="center"/>
          </w:tcPr>
          <w:p w14:paraId="431E12A9">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20</w:t>
            </w:r>
            <w:r>
              <w:rPr>
                <w:rFonts w:hint="eastAsia" w:ascii="宋体" w:hAnsi="宋体" w:eastAsia="宋体" w:cs="Calibri"/>
                <w:color w:val="000000"/>
                <w:spacing w:val="-10"/>
                <w:kern w:val="0"/>
                <w:sz w:val="21"/>
                <w:szCs w:val="21"/>
                <w:lang w:val="en-US" w:eastAsia="zh-CN" w:bidi="ar-SA"/>
              </w:rPr>
              <w:t>分</w:t>
            </w:r>
          </w:p>
        </w:tc>
      </w:tr>
      <w:tr w14:paraId="4125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tcBorders>
            <w:shd w:val="clear" w:color="auto" w:fill="auto"/>
            <w:noWrap/>
            <w:vAlign w:val="center"/>
          </w:tcPr>
          <w:p w14:paraId="4F4F5C64">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w:t>
            </w:r>
          </w:p>
        </w:tc>
        <w:tc>
          <w:tcPr>
            <w:tcW w:w="1344" w:type="pct"/>
            <w:gridSpan w:val="5"/>
            <w:tcBorders>
              <w:top w:val="single" w:color="auto" w:sz="0" w:space="0"/>
              <w:left w:val="single" w:color="auto" w:sz="0" w:space="0"/>
              <w:bottom w:val="single" w:color="auto" w:sz="0" w:space="0"/>
              <w:right w:val="single" w:color="auto" w:sz="0" w:space="0"/>
            </w:tcBorders>
            <w:shd w:val="clear" w:color="auto" w:fill="auto"/>
            <w:noWrap w:val="0"/>
            <w:vAlign w:val="center"/>
          </w:tcPr>
          <w:p w14:paraId="0E7EDEA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C1</w:t>
            </w:r>
          </w:p>
        </w:tc>
        <w:tc>
          <w:tcPr>
            <w:tcW w:w="969" w:type="pct"/>
            <w:gridSpan w:val="4"/>
            <w:tcBorders>
              <w:top w:val="single" w:color="auto" w:sz="0" w:space="0"/>
              <w:bottom w:val="single" w:color="auto" w:sz="0" w:space="0"/>
              <w:right w:val="single" w:color="auto" w:sz="0" w:space="0"/>
            </w:tcBorders>
            <w:shd w:val="clear" w:color="auto" w:fill="auto"/>
            <w:noWrap w:val="0"/>
            <w:vAlign w:val="center"/>
          </w:tcPr>
          <w:p w14:paraId="785CC77C">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C2</w:t>
            </w:r>
          </w:p>
        </w:tc>
        <w:tc>
          <w:tcPr>
            <w:tcW w:w="1271" w:type="pct"/>
            <w:gridSpan w:val="9"/>
            <w:tcBorders>
              <w:top w:val="single" w:color="auto" w:sz="0" w:space="0"/>
              <w:bottom w:val="single" w:color="auto" w:sz="0" w:space="0"/>
              <w:right w:val="single" w:color="auto" w:sz="0" w:space="0"/>
            </w:tcBorders>
            <w:shd w:val="clear" w:color="auto" w:fill="auto"/>
            <w:noWrap w:val="0"/>
            <w:vAlign w:val="center"/>
          </w:tcPr>
          <w:p w14:paraId="4CE0FEBA">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ascii="Calibri" w:hAnsi="Calibri" w:eastAsia="宋体" w:cs="Calibri"/>
                <w:color w:val="000000"/>
                <w:spacing w:val="-10"/>
                <w:kern w:val="0"/>
                <w:sz w:val="21"/>
                <w:szCs w:val="21"/>
                <w:lang w:val="en-US" w:eastAsia="zh-CN" w:bidi="ar-SA"/>
              </w:rPr>
              <w:t>C3</w:t>
            </w:r>
            <w:r>
              <w:rPr>
                <w:rFonts w:hint="eastAsia" w:ascii="Calibri" w:hAnsi="Calibri" w:eastAsia="宋体" w:cs="Calibri"/>
                <w:color w:val="000000"/>
                <w:spacing w:val="-10"/>
                <w:kern w:val="0"/>
                <w:sz w:val="21"/>
                <w:szCs w:val="21"/>
                <w:lang w:val="en-US" w:eastAsia="zh-CN" w:bidi="ar-SA"/>
              </w:rPr>
              <w:t>、C4</w:t>
            </w:r>
          </w:p>
        </w:tc>
        <w:tc>
          <w:tcPr>
            <w:tcW w:w="1026" w:type="pct"/>
            <w:gridSpan w:val="6"/>
            <w:tcBorders>
              <w:top w:val="single" w:color="auto" w:sz="0" w:space="0"/>
              <w:bottom w:val="single" w:color="auto" w:sz="0" w:space="0"/>
              <w:right w:val="single" w:color="auto" w:sz="0" w:space="0"/>
            </w:tcBorders>
            <w:shd w:val="clear" w:color="auto" w:fill="auto"/>
            <w:noWrap w:val="0"/>
            <w:vAlign w:val="center"/>
          </w:tcPr>
          <w:p w14:paraId="3FD32AF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C5</w:t>
            </w:r>
          </w:p>
        </w:tc>
      </w:tr>
      <w:tr w14:paraId="2B13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tcBorders>
            <w:shd w:val="clear" w:color="auto" w:fill="auto"/>
            <w:noWrap/>
            <w:vAlign w:val="center"/>
          </w:tcPr>
          <w:p w14:paraId="2E5C4D99">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二级指标分数</w:t>
            </w:r>
          </w:p>
        </w:tc>
        <w:tc>
          <w:tcPr>
            <w:tcW w:w="1344" w:type="pct"/>
            <w:gridSpan w:val="5"/>
            <w:tcBorders>
              <w:top w:val="single" w:color="auto" w:sz="0" w:space="0"/>
              <w:left w:val="single" w:color="auto" w:sz="0" w:space="0"/>
              <w:bottom w:val="single" w:color="auto" w:sz="0" w:space="0"/>
              <w:right w:val="single" w:color="auto" w:sz="0" w:space="0"/>
            </w:tcBorders>
            <w:shd w:val="clear" w:color="auto" w:fill="auto"/>
            <w:noWrap w:val="0"/>
            <w:vAlign w:val="center"/>
          </w:tcPr>
          <w:p w14:paraId="2DE849F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8分</w:t>
            </w:r>
          </w:p>
        </w:tc>
        <w:tc>
          <w:tcPr>
            <w:tcW w:w="969" w:type="pct"/>
            <w:gridSpan w:val="4"/>
            <w:tcBorders>
              <w:top w:val="single" w:color="auto" w:sz="0" w:space="0"/>
              <w:bottom w:val="single" w:color="auto" w:sz="0" w:space="0"/>
              <w:right w:val="single" w:color="auto" w:sz="0" w:space="0"/>
            </w:tcBorders>
            <w:shd w:val="clear" w:color="auto" w:fill="auto"/>
            <w:noWrap w:val="0"/>
            <w:vAlign w:val="center"/>
          </w:tcPr>
          <w:p w14:paraId="1F33D68F">
            <w:pPr>
              <w:widowControl/>
              <w:snapToGrid w:val="0"/>
              <w:spacing w:line="360" w:lineRule="auto"/>
              <w:jc w:val="center"/>
              <w:rPr>
                <w:rFonts w:ascii="宋体" w:hAnsi="宋体"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3分</w:t>
            </w:r>
          </w:p>
        </w:tc>
        <w:tc>
          <w:tcPr>
            <w:tcW w:w="1271" w:type="pct"/>
            <w:gridSpan w:val="9"/>
            <w:tcBorders>
              <w:top w:val="single" w:color="auto" w:sz="0" w:space="0"/>
              <w:bottom w:val="single" w:color="auto" w:sz="0" w:space="0"/>
              <w:right w:val="single" w:color="auto" w:sz="0" w:space="0"/>
            </w:tcBorders>
            <w:shd w:val="clear" w:color="auto" w:fill="auto"/>
            <w:noWrap w:val="0"/>
            <w:vAlign w:val="center"/>
          </w:tcPr>
          <w:p w14:paraId="7643F15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3分</w:t>
            </w:r>
          </w:p>
        </w:tc>
        <w:tc>
          <w:tcPr>
            <w:tcW w:w="1026" w:type="pct"/>
            <w:gridSpan w:val="6"/>
            <w:tcBorders>
              <w:top w:val="single" w:color="auto" w:sz="0" w:space="0"/>
              <w:bottom w:val="single" w:color="auto" w:sz="0" w:space="0"/>
              <w:right w:val="single" w:color="auto" w:sz="0" w:space="0"/>
            </w:tcBorders>
            <w:shd w:val="clear" w:color="auto" w:fill="auto"/>
            <w:noWrap w:val="0"/>
            <w:vAlign w:val="center"/>
          </w:tcPr>
          <w:p w14:paraId="62BBAE8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3分</w:t>
            </w:r>
          </w:p>
        </w:tc>
      </w:tr>
      <w:tr w14:paraId="444D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left w:val="single" w:color="auto" w:sz="0" w:space="0"/>
              <w:bottom w:val="single" w:color="auto" w:sz="0" w:space="0"/>
            </w:tcBorders>
            <w:shd w:val="clear" w:color="auto" w:fill="auto"/>
            <w:noWrap/>
            <w:vAlign w:val="center"/>
          </w:tcPr>
          <w:p w14:paraId="4994AF70">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二级指标赋分分数</w:t>
            </w:r>
          </w:p>
        </w:tc>
        <w:tc>
          <w:tcPr>
            <w:tcW w:w="264" w:type="pct"/>
            <w:tcBorders>
              <w:left w:val="single" w:color="auto" w:sz="0" w:space="0"/>
              <w:bottom w:val="single" w:color="auto" w:sz="0" w:space="0"/>
              <w:right w:val="single" w:color="auto" w:sz="0" w:space="0"/>
            </w:tcBorders>
            <w:shd w:val="clear" w:color="auto" w:fill="auto"/>
            <w:noWrap w:val="0"/>
            <w:vAlign w:val="center"/>
          </w:tcPr>
          <w:p w14:paraId="5D869FB8">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8分</w:t>
            </w:r>
          </w:p>
        </w:tc>
        <w:tc>
          <w:tcPr>
            <w:tcW w:w="278" w:type="pct"/>
            <w:tcBorders>
              <w:bottom w:val="single" w:color="auto" w:sz="0" w:space="0"/>
              <w:right w:val="single" w:color="auto" w:sz="0" w:space="0"/>
            </w:tcBorders>
            <w:shd w:val="clear" w:color="auto" w:fill="auto"/>
            <w:noWrap w:val="0"/>
            <w:vAlign w:val="center"/>
          </w:tcPr>
          <w:p w14:paraId="012B983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6分</w:t>
            </w:r>
          </w:p>
        </w:tc>
        <w:tc>
          <w:tcPr>
            <w:tcW w:w="279" w:type="pct"/>
            <w:tcBorders>
              <w:bottom w:val="single" w:color="auto" w:sz="0" w:space="0"/>
              <w:right w:val="single" w:color="auto" w:sz="0" w:space="0"/>
            </w:tcBorders>
            <w:shd w:val="clear" w:color="auto" w:fill="auto"/>
            <w:noWrap w:val="0"/>
            <w:vAlign w:val="center"/>
          </w:tcPr>
          <w:p w14:paraId="769BF01D">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5分</w:t>
            </w:r>
          </w:p>
        </w:tc>
        <w:tc>
          <w:tcPr>
            <w:tcW w:w="279" w:type="pct"/>
            <w:tcBorders>
              <w:bottom w:val="single" w:color="auto" w:sz="0" w:space="0"/>
              <w:right w:val="single" w:color="auto" w:sz="0" w:space="0"/>
            </w:tcBorders>
            <w:shd w:val="clear" w:color="auto" w:fill="auto"/>
            <w:noWrap w:val="0"/>
            <w:vAlign w:val="center"/>
          </w:tcPr>
          <w:p w14:paraId="076D5FAD">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3分</w:t>
            </w:r>
          </w:p>
        </w:tc>
        <w:tc>
          <w:tcPr>
            <w:tcW w:w="244" w:type="pct"/>
            <w:tcBorders>
              <w:bottom w:val="single" w:color="auto" w:sz="0" w:space="0"/>
              <w:right w:val="single" w:color="auto" w:sz="0" w:space="0"/>
            </w:tcBorders>
            <w:shd w:val="clear" w:color="auto" w:fill="auto"/>
            <w:noWrap w:val="0"/>
            <w:vAlign w:val="center"/>
          </w:tcPr>
          <w:p w14:paraId="42D33CA9">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1分</w:t>
            </w:r>
          </w:p>
        </w:tc>
        <w:tc>
          <w:tcPr>
            <w:tcW w:w="255" w:type="pct"/>
            <w:tcBorders>
              <w:bottom w:val="single" w:color="auto" w:sz="0" w:space="0"/>
              <w:right w:val="single" w:color="auto" w:sz="0" w:space="0"/>
            </w:tcBorders>
            <w:shd w:val="clear" w:color="auto" w:fill="auto"/>
            <w:noWrap w:val="0"/>
            <w:vAlign w:val="center"/>
          </w:tcPr>
          <w:p w14:paraId="36BD23C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3分</w:t>
            </w:r>
          </w:p>
        </w:tc>
        <w:tc>
          <w:tcPr>
            <w:tcW w:w="237" w:type="pct"/>
            <w:tcBorders>
              <w:bottom w:val="single" w:color="auto" w:sz="0" w:space="0"/>
              <w:right w:val="single" w:color="auto" w:sz="0" w:space="0"/>
            </w:tcBorders>
            <w:shd w:val="clear" w:color="auto" w:fill="auto"/>
            <w:noWrap w:val="0"/>
            <w:vAlign w:val="center"/>
          </w:tcPr>
          <w:p w14:paraId="1D99ACDC">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2分</w:t>
            </w:r>
          </w:p>
        </w:tc>
        <w:tc>
          <w:tcPr>
            <w:tcW w:w="240" w:type="pct"/>
            <w:tcBorders>
              <w:bottom w:val="single" w:color="auto" w:sz="0" w:space="0"/>
              <w:right w:val="single" w:color="auto" w:sz="0" w:space="0"/>
            </w:tcBorders>
            <w:shd w:val="clear" w:color="auto" w:fill="auto"/>
            <w:noWrap w:val="0"/>
            <w:vAlign w:val="center"/>
          </w:tcPr>
          <w:p w14:paraId="5B5F52E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1分</w:t>
            </w:r>
          </w:p>
        </w:tc>
        <w:tc>
          <w:tcPr>
            <w:tcW w:w="237" w:type="pct"/>
            <w:tcBorders>
              <w:bottom w:val="single" w:color="auto" w:sz="0" w:space="0"/>
              <w:right w:val="single" w:color="auto" w:sz="0" w:space="0"/>
            </w:tcBorders>
            <w:shd w:val="clear" w:color="auto" w:fill="auto"/>
            <w:noWrap w:val="0"/>
            <w:vAlign w:val="center"/>
          </w:tcPr>
          <w:p w14:paraId="3C8964A3">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宋体" w:hAnsi="宋体" w:eastAsia="宋体" w:cs="Calibri"/>
                <w:color w:val="000000"/>
                <w:spacing w:val="-10"/>
                <w:kern w:val="0"/>
                <w:sz w:val="21"/>
                <w:szCs w:val="21"/>
                <w:lang w:val="en-US" w:eastAsia="zh-CN" w:bidi="ar-SA"/>
              </w:rPr>
              <w:t>0分</w:t>
            </w:r>
          </w:p>
        </w:tc>
        <w:tc>
          <w:tcPr>
            <w:tcW w:w="254" w:type="pct"/>
            <w:gridSpan w:val="2"/>
            <w:tcBorders>
              <w:bottom w:val="single" w:color="auto" w:sz="0" w:space="0"/>
              <w:right w:val="single" w:color="auto" w:sz="0" w:space="0"/>
            </w:tcBorders>
            <w:shd w:val="clear" w:color="auto" w:fill="auto"/>
            <w:noWrap w:val="0"/>
            <w:vAlign w:val="center"/>
          </w:tcPr>
          <w:p w14:paraId="585857B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3分</w:t>
            </w:r>
          </w:p>
        </w:tc>
        <w:tc>
          <w:tcPr>
            <w:tcW w:w="254" w:type="pct"/>
            <w:gridSpan w:val="2"/>
            <w:tcBorders>
              <w:bottom w:val="single" w:color="auto" w:sz="0" w:space="0"/>
              <w:right w:val="single" w:color="auto" w:sz="0" w:space="0"/>
            </w:tcBorders>
            <w:shd w:val="clear" w:color="auto" w:fill="auto"/>
            <w:noWrap w:val="0"/>
            <w:vAlign w:val="center"/>
          </w:tcPr>
          <w:p w14:paraId="10A8C3BF">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2.5分</w:t>
            </w:r>
          </w:p>
        </w:tc>
        <w:tc>
          <w:tcPr>
            <w:tcW w:w="254" w:type="pct"/>
            <w:gridSpan w:val="2"/>
            <w:tcBorders>
              <w:bottom w:val="single" w:color="auto" w:sz="0" w:space="0"/>
              <w:right w:val="single" w:color="auto" w:sz="0" w:space="0"/>
            </w:tcBorders>
            <w:shd w:val="clear" w:color="auto" w:fill="auto"/>
            <w:noWrap w:val="0"/>
            <w:vAlign w:val="center"/>
          </w:tcPr>
          <w:p w14:paraId="1B7C693D">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2分</w:t>
            </w:r>
          </w:p>
        </w:tc>
        <w:tc>
          <w:tcPr>
            <w:tcW w:w="254" w:type="pct"/>
            <w:gridSpan w:val="2"/>
            <w:tcBorders>
              <w:bottom w:val="single" w:color="auto" w:sz="0" w:space="0"/>
              <w:right w:val="single" w:color="auto" w:sz="0" w:space="0"/>
            </w:tcBorders>
            <w:shd w:val="clear" w:color="auto" w:fill="auto"/>
            <w:noWrap w:val="0"/>
            <w:vAlign w:val="center"/>
          </w:tcPr>
          <w:p w14:paraId="3847532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1.5分</w:t>
            </w:r>
          </w:p>
        </w:tc>
        <w:tc>
          <w:tcPr>
            <w:tcW w:w="255" w:type="pct"/>
            <w:tcBorders>
              <w:bottom w:val="single" w:color="auto" w:sz="0" w:space="0"/>
              <w:right w:val="single" w:color="auto" w:sz="0" w:space="0"/>
            </w:tcBorders>
            <w:shd w:val="clear" w:color="auto" w:fill="auto"/>
            <w:noWrap w:val="0"/>
            <w:vAlign w:val="center"/>
          </w:tcPr>
          <w:p w14:paraId="76A5766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1分</w:t>
            </w:r>
          </w:p>
        </w:tc>
        <w:tc>
          <w:tcPr>
            <w:tcW w:w="341" w:type="pct"/>
            <w:gridSpan w:val="2"/>
            <w:tcBorders>
              <w:bottom w:val="single" w:color="auto" w:sz="0" w:space="0"/>
              <w:right w:val="single" w:color="auto" w:sz="0" w:space="0"/>
            </w:tcBorders>
            <w:shd w:val="clear" w:color="auto" w:fill="auto"/>
            <w:noWrap w:val="0"/>
            <w:vAlign w:val="center"/>
          </w:tcPr>
          <w:p w14:paraId="6F7E72F1">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3分</w:t>
            </w:r>
          </w:p>
        </w:tc>
        <w:tc>
          <w:tcPr>
            <w:tcW w:w="341" w:type="pct"/>
            <w:gridSpan w:val="2"/>
            <w:tcBorders>
              <w:bottom w:val="single" w:color="auto" w:sz="0" w:space="0"/>
              <w:right w:val="single" w:color="auto" w:sz="0" w:space="0"/>
            </w:tcBorders>
            <w:shd w:val="clear" w:color="auto" w:fill="auto"/>
            <w:noWrap w:val="0"/>
            <w:vAlign w:val="center"/>
          </w:tcPr>
          <w:p w14:paraId="758E1F98">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1分</w:t>
            </w:r>
          </w:p>
        </w:tc>
        <w:tc>
          <w:tcPr>
            <w:tcW w:w="344" w:type="pct"/>
            <w:gridSpan w:val="2"/>
            <w:tcBorders>
              <w:bottom w:val="single" w:color="auto" w:sz="0" w:space="0"/>
              <w:right w:val="single" w:color="auto" w:sz="0" w:space="0"/>
            </w:tcBorders>
            <w:shd w:val="clear" w:color="auto" w:fill="auto"/>
            <w:noWrap w:val="0"/>
            <w:vAlign w:val="center"/>
          </w:tcPr>
          <w:p w14:paraId="2ECABFCA">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0分</w:t>
            </w:r>
          </w:p>
        </w:tc>
      </w:tr>
      <w:tr w14:paraId="266C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0" w:type="pct"/>
            <w:tcBorders>
              <w:top w:val="single" w:color="auto" w:sz="0" w:space="0"/>
              <w:left w:val="single" w:color="auto" w:sz="0" w:space="0"/>
              <w:bottom w:val="single" w:color="auto" w:sz="0" w:space="0"/>
              <w:right w:val="single" w:color="auto" w:sz="0" w:space="0"/>
            </w:tcBorders>
            <w:shd w:val="clear" w:color="auto" w:fill="auto"/>
            <w:noWrap/>
            <w:vAlign w:val="center"/>
          </w:tcPr>
          <w:p w14:paraId="710DE19A">
            <w:pPr>
              <w:widowControl/>
              <w:snapToGrid w:val="0"/>
              <w:spacing w:line="360" w:lineRule="auto"/>
              <w:jc w:val="center"/>
              <w:rPr>
                <w:rFonts w:ascii="宋体" w:hAnsi="宋体" w:eastAsia="宋体" w:cs="宋体"/>
                <w:b/>
                <w:bCs/>
                <w:color w:val="000000"/>
                <w:spacing w:val="-10"/>
                <w:kern w:val="0"/>
                <w:sz w:val="21"/>
                <w:szCs w:val="21"/>
                <w:lang w:val="en-US" w:eastAsia="zh-CN" w:bidi="ar-SA"/>
              </w:rPr>
            </w:pPr>
            <w:r>
              <w:rPr>
                <w:rFonts w:hint="eastAsia" w:ascii="宋体" w:hAnsi="宋体" w:eastAsia="宋体" w:cs="宋体"/>
                <w:b/>
                <w:bCs/>
                <w:color w:val="000000"/>
                <w:spacing w:val="-10"/>
                <w:kern w:val="0"/>
                <w:sz w:val="21"/>
                <w:szCs w:val="21"/>
                <w:lang w:val="en-US" w:eastAsia="zh-CN" w:bidi="ar-SA"/>
              </w:rPr>
              <w:t>二级指标赋分比例</w:t>
            </w:r>
          </w:p>
        </w:tc>
        <w:tc>
          <w:tcPr>
            <w:tcW w:w="264"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36FF0C12">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前15%</w:t>
            </w:r>
          </w:p>
        </w:tc>
        <w:tc>
          <w:tcPr>
            <w:tcW w:w="278"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4121B1C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排名16-</w:t>
            </w:r>
            <w:r>
              <w:rPr>
                <w:rFonts w:ascii="Calibri" w:hAnsi="Calibri" w:eastAsia="宋体" w:cs="Calibri"/>
                <w:color w:val="000000"/>
                <w:spacing w:val="-10"/>
                <w:kern w:val="0"/>
                <w:sz w:val="21"/>
                <w:szCs w:val="21"/>
                <w:lang w:val="en-US" w:eastAsia="zh-CN" w:bidi="ar-SA"/>
              </w:rPr>
              <w:t>50%</w:t>
            </w:r>
          </w:p>
        </w:tc>
        <w:tc>
          <w:tcPr>
            <w:tcW w:w="279"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1E0660C0">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排名51-</w:t>
            </w:r>
            <w:r>
              <w:rPr>
                <w:rFonts w:ascii="Calibri" w:hAnsi="Calibri" w:eastAsia="宋体" w:cs="Calibri"/>
                <w:color w:val="000000"/>
                <w:spacing w:val="-10"/>
                <w:kern w:val="0"/>
                <w:sz w:val="21"/>
                <w:szCs w:val="21"/>
                <w:lang w:val="en-US" w:eastAsia="zh-CN" w:bidi="ar-SA"/>
              </w:rPr>
              <w:t>75%</w:t>
            </w:r>
          </w:p>
        </w:tc>
        <w:tc>
          <w:tcPr>
            <w:tcW w:w="279"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0947954D">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排名76-</w:t>
            </w:r>
            <w:r>
              <w:rPr>
                <w:rFonts w:ascii="Calibri" w:hAnsi="Calibri" w:eastAsia="宋体" w:cs="Calibri"/>
                <w:color w:val="000000"/>
                <w:spacing w:val="-10"/>
                <w:kern w:val="0"/>
                <w:sz w:val="21"/>
                <w:szCs w:val="21"/>
                <w:lang w:val="en-US" w:eastAsia="zh-CN" w:bidi="ar-SA"/>
              </w:rPr>
              <w:t>95%</w:t>
            </w:r>
          </w:p>
        </w:tc>
        <w:tc>
          <w:tcPr>
            <w:tcW w:w="244"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5CE7DC21">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后5%</w:t>
            </w:r>
          </w:p>
        </w:tc>
        <w:tc>
          <w:tcPr>
            <w:tcW w:w="255"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2634C1B0">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25分及以上</w:t>
            </w:r>
          </w:p>
        </w:tc>
        <w:tc>
          <w:tcPr>
            <w:tcW w:w="237"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111BE4F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15-20分</w:t>
            </w:r>
          </w:p>
        </w:tc>
        <w:tc>
          <w:tcPr>
            <w:tcW w:w="240"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43D128E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5-10分</w:t>
            </w:r>
          </w:p>
        </w:tc>
        <w:tc>
          <w:tcPr>
            <w:tcW w:w="237"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57042265">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0分</w:t>
            </w:r>
          </w:p>
        </w:tc>
        <w:tc>
          <w:tcPr>
            <w:tcW w:w="254" w:type="pct"/>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553357AC">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前15%</w:t>
            </w:r>
          </w:p>
        </w:tc>
        <w:tc>
          <w:tcPr>
            <w:tcW w:w="254" w:type="pct"/>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6A66DB86">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排名16-</w:t>
            </w:r>
            <w:r>
              <w:rPr>
                <w:rFonts w:ascii="Calibri" w:hAnsi="Calibri" w:eastAsia="宋体" w:cs="Calibri"/>
                <w:color w:val="000000"/>
                <w:spacing w:val="-10"/>
                <w:kern w:val="0"/>
                <w:sz w:val="21"/>
                <w:szCs w:val="21"/>
                <w:lang w:val="en-US" w:eastAsia="zh-CN" w:bidi="ar-SA"/>
              </w:rPr>
              <w:t>50%</w:t>
            </w:r>
          </w:p>
        </w:tc>
        <w:tc>
          <w:tcPr>
            <w:tcW w:w="254" w:type="pct"/>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397D5660">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排名51-</w:t>
            </w:r>
            <w:r>
              <w:rPr>
                <w:rFonts w:ascii="Calibri" w:hAnsi="Calibri" w:eastAsia="宋体" w:cs="Calibri"/>
                <w:color w:val="000000"/>
                <w:spacing w:val="-10"/>
                <w:kern w:val="0"/>
                <w:sz w:val="21"/>
                <w:szCs w:val="21"/>
                <w:lang w:val="en-US" w:eastAsia="zh-CN" w:bidi="ar-SA"/>
              </w:rPr>
              <w:t>75%</w:t>
            </w:r>
          </w:p>
        </w:tc>
        <w:tc>
          <w:tcPr>
            <w:tcW w:w="254" w:type="pct"/>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72C5270E">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排名76-</w:t>
            </w:r>
            <w:r>
              <w:rPr>
                <w:rFonts w:ascii="Calibri" w:hAnsi="Calibri" w:eastAsia="宋体" w:cs="Calibri"/>
                <w:color w:val="000000"/>
                <w:spacing w:val="-10"/>
                <w:kern w:val="0"/>
                <w:sz w:val="21"/>
                <w:szCs w:val="21"/>
                <w:lang w:val="en-US" w:eastAsia="zh-CN" w:bidi="ar-SA"/>
              </w:rPr>
              <w:t>95%</w:t>
            </w:r>
          </w:p>
        </w:tc>
        <w:tc>
          <w:tcPr>
            <w:tcW w:w="255" w:type="pct"/>
            <w:tcBorders>
              <w:top w:val="single" w:color="auto" w:sz="0" w:space="0"/>
              <w:left w:val="single" w:color="auto" w:sz="0" w:space="0"/>
              <w:bottom w:val="single" w:color="auto" w:sz="0" w:space="0"/>
              <w:right w:val="single" w:color="auto" w:sz="0" w:space="0"/>
            </w:tcBorders>
            <w:shd w:val="clear" w:color="auto" w:fill="auto"/>
            <w:noWrap w:val="0"/>
            <w:vAlign w:val="center"/>
          </w:tcPr>
          <w:p w14:paraId="28340639">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排名</w:t>
            </w:r>
            <w:r>
              <w:rPr>
                <w:rFonts w:ascii="Calibri" w:hAnsi="Calibri" w:eastAsia="宋体" w:cs="Calibri"/>
                <w:color w:val="000000"/>
                <w:spacing w:val="-10"/>
                <w:kern w:val="0"/>
                <w:sz w:val="21"/>
                <w:szCs w:val="21"/>
                <w:lang w:val="en-US" w:eastAsia="zh-CN" w:bidi="ar-SA"/>
              </w:rPr>
              <w:t>后5%</w:t>
            </w:r>
          </w:p>
        </w:tc>
        <w:tc>
          <w:tcPr>
            <w:tcW w:w="341" w:type="pct"/>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7E110C8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15分及以上</w:t>
            </w:r>
          </w:p>
        </w:tc>
        <w:tc>
          <w:tcPr>
            <w:tcW w:w="341" w:type="pct"/>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269BB58B">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10分</w:t>
            </w:r>
          </w:p>
        </w:tc>
        <w:tc>
          <w:tcPr>
            <w:tcW w:w="344" w:type="pct"/>
            <w:gridSpan w:val="2"/>
            <w:tcBorders>
              <w:top w:val="single" w:color="auto" w:sz="0" w:space="0"/>
              <w:left w:val="single" w:color="auto" w:sz="0" w:space="0"/>
              <w:bottom w:val="single" w:color="auto" w:sz="0" w:space="0"/>
              <w:right w:val="single" w:color="auto" w:sz="0" w:space="0"/>
            </w:tcBorders>
            <w:shd w:val="clear" w:color="auto" w:fill="auto"/>
            <w:noWrap w:val="0"/>
            <w:vAlign w:val="center"/>
          </w:tcPr>
          <w:p w14:paraId="291B4E07">
            <w:pPr>
              <w:widowControl/>
              <w:snapToGrid w:val="0"/>
              <w:spacing w:line="360" w:lineRule="auto"/>
              <w:jc w:val="center"/>
              <w:rPr>
                <w:rFonts w:ascii="Calibri" w:hAnsi="Calibri" w:eastAsia="宋体" w:cs="Calibri"/>
                <w:color w:val="000000"/>
                <w:spacing w:val="-10"/>
                <w:kern w:val="0"/>
                <w:sz w:val="21"/>
                <w:szCs w:val="21"/>
                <w:lang w:val="en-US" w:eastAsia="zh-CN" w:bidi="ar-SA"/>
              </w:rPr>
            </w:pPr>
            <w:r>
              <w:rPr>
                <w:rFonts w:hint="eastAsia" w:ascii="Calibri" w:hAnsi="Calibri" w:eastAsia="宋体" w:cs="Calibri"/>
                <w:color w:val="000000"/>
                <w:spacing w:val="-10"/>
                <w:kern w:val="0"/>
                <w:sz w:val="21"/>
                <w:szCs w:val="21"/>
                <w:lang w:val="en-US" w:eastAsia="zh-CN" w:bidi="ar-SA"/>
              </w:rPr>
              <w:t>0分</w:t>
            </w:r>
          </w:p>
        </w:tc>
      </w:tr>
    </w:tbl>
    <w:p w14:paraId="0D819A4E">
      <w:pPr>
        <w:spacing w:line="600" w:lineRule="exact"/>
        <w:jc w:val="both"/>
        <w:rPr>
          <w:rFonts w:ascii="仿宋_GB2312" w:eastAsia="仿宋_GB2312"/>
          <w:sz w:val="32"/>
          <w:szCs w:val="32"/>
          <w:lang w:val="en-US" w:eastAsia="zh-CN"/>
        </w:rPr>
      </w:pPr>
      <w:r>
        <w:rPr>
          <w:rFonts w:hint="eastAsia" w:ascii="仿宋_GB2312" w:eastAsia="仿宋_GB2312"/>
          <w:sz w:val="32"/>
          <w:szCs w:val="32"/>
          <w:lang w:val="en-US" w:eastAsia="zh-CN"/>
        </w:rPr>
        <w:t>注：二级指标A1项与B1项涉及多名研究生时，赋分前得分为多名研究生得分的平均分</w:t>
      </w:r>
    </w:p>
    <w:p w14:paraId="13F704BA">
      <w:pPr>
        <w:spacing w:line="600" w:lineRule="exact"/>
        <w:jc w:val="both"/>
        <w:rPr>
          <w:rFonts w:hint="eastAsia" w:ascii="仿宋_GB2312" w:eastAsia="仿宋_GB2312"/>
          <w:sz w:val="32"/>
          <w:szCs w:val="32"/>
          <w:lang w:val="en-US" w:eastAsia="zh-CN"/>
        </w:rPr>
      </w:pPr>
    </w:p>
    <w:p w14:paraId="504EE1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AB6957-2CE1-46A2-9081-91C47C0E73B6}"/>
  </w:font>
  <w:font w:name="黑体">
    <w:panose1 w:val="02010609060101010101"/>
    <w:charset w:val="86"/>
    <w:family w:val="auto"/>
    <w:pitch w:val="default"/>
    <w:sig w:usb0="800002BF" w:usb1="38CF7CFA" w:usb2="00000016" w:usb3="00000000" w:csb0="00040001" w:csb1="00000000"/>
    <w:embedRegular r:id="rId2" w:fontKey="{2CF65E3C-C01F-4B01-97A0-01DE375DD7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8C4479A-0A7A-4427-B06C-BDE08FD090E7}"/>
  </w:font>
  <w:font w:name="方正小标宋_GBK">
    <w:panose1 w:val="02000000000000000000"/>
    <w:charset w:val="86"/>
    <w:family w:val="script"/>
    <w:pitch w:val="default"/>
    <w:sig w:usb0="A00002BF" w:usb1="38CF7CFA" w:usb2="00082016" w:usb3="00000000" w:csb0="00040001" w:csb1="00000000"/>
    <w:embedRegular r:id="rId4" w:fontKey="{0AEB810F-F005-4A83-BC33-0DE56FA81586}"/>
  </w:font>
  <w:font w:name="仿宋_GB2312">
    <w:altName w:val="仿宋"/>
    <w:panose1 w:val="02010609030101010101"/>
    <w:charset w:val="86"/>
    <w:family w:val="modern"/>
    <w:pitch w:val="default"/>
    <w:sig w:usb0="00000000" w:usb1="00000000" w:usb2="00000010" w:usb3="00000000" w:csb0="00040000" w:csb1="00000000"/>
    <w:embedRegular r:id="rId5" w:fontKey="{D38772E5-F9E4-403B-863E-AAE0C2BAB63E}"/>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A98FD">
    <w:pPr>
      <w:pStyle w:val="2"/>
      <w:wordWrap w:val="0"/>
      <w:jc w:val="right"/>
      <w:rPr>
        <w:rFonts w:ascii="Tahoma" w:hAnsi="Tahoma" w:cs="Tahoma"/>
        <w:sz w:val="28"/>
        <w:szCs w:val="28"/>
      </w:rPr>
    </w:pPr>
    <w:r>
      <w:rPr>
        <w:rFonts w:hint="eastAsia" w:ascii="Tahoma" w:hAnsi="Tahoma" w:cs="Tahoma"/>
        <w:sz w:val="28"/>
        <w:szCs w:val="28"/>
      </w:rPr>
      <w:t xml:space="preserve"> </w:t>
    </w:r>
    <w:r>
      <w:rPr>
        <w:rFonts w:ascii="宋体" w:hAnsi="宋体" w:cs="Tahoma"/>
        <w:sz w:val="28"/>
        <w:szCs w:val="28"/>
      </w:rPr>
      <w:fldChar w:fldCharType="begin"/>
    </w:r>
    <w:r>
      <w:rPr>
        <w:rFonts w:ascii="宋体" w:hAnsi="宋体" w:cs="Tahoma"/>
        <w:sz w:val="28"/>
        <w:szCs w:val="28"/>
      </w:rPr>
      <w:instrText xml:space="preserve"> PAGE   \* MERGEFORMAT </w:instrText>
    </w:r>
    <w:r>
      <w:rPr>
        <w:rFonts w:ascii="宋体" w:hAnsi="宋体" w:cs="Tahoma"/>
        <w:sz w:val="28"/>
        <w:szCs w:val="28"/>
      </w:rPr>
      <w:fldChar w:fldCharType="separate"/>
    </w:r>
    <w:r>
      <w:rPr>
        <w:rFonts w:ascii="宋体" w:hAnsi="宋体" w:cs="Tahoma"/>
        <w:sz w:val="28"/>
        <w:szCs w:val="28"/>
        <w:lang w:val="zh-CN"/>
      </w:rPr>
      <w:t>21</w:t>
    </w:r>
    <w:r>
      <w:rPr>
        <w:rFonts w:ascii="宋体" w:hAnsi="宋体" w:cs="Tahoma"/>
        <w:sz w:val="28"/>
        <w:szCs w:val="28"/>
      </w:rPr>
      <w:fldChar w:fldCharType="end"/>
    </w:r>
    <w:r>
      <w:rPr>
        <w:rFonts w:hint="eastAsia" w:ascii="Tahoma" w:hAnsi="Tahoma" w:cs="Tahom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3E33">
    <w:pPr>
      <w:pStyle w:val="2"/>
      <w:ind w:firstLine="840" w:firstLineChars="300"/>
      <w:jc w:val="left"/>
      <w:rPr>
        <w:rFonts w:ascii="Tahoma" w:hAnsi="Tahoma" w:cs="Tahoma"/>
        <w:sz w:val="28"/>
        <w:szCs w:val="28"/>
      </w:rPr>
    </w:pPr>
    <w:r>
      <w:rPr>
        <w:rFonts w:ascii="Tahoma" w:hAnsi="Tahoma" w:cs="Tahoma"/>
        <w:sz w:val="28"/>
        <w:szCs w:val="28"/>
      </w:rPr>
      <mc:AlternateContent>
        <mc:Choice Requires="wps">
          <w:drawing>
            <wp:anchor distT="0" distB="0" distL="114300" distR="114300" simplePos="0" relativeHeight="251659264" behindDoc="0" locked="0" layoutInCell="1" allowOverlap="1">
              <wp:simplePos x="0" y="0"/>
              <wp:positionH relativeFrom="column">
                <wp:posOffset>856615</wp:posOffset>
              </wp:positionH>
              <wp:positionV relativeFrom="paragraph">
                <wp:posOffset>117475</wp:posOffset>
              </wp:positionV>
              <wp:extent cx="179705" cy="0"/>
              <wp:effectExtent l="0" t="6350" r="1270" b="7620"/>
              <wp:wrapNone/>
              <wp:docPr id="3" name="直接箭头连接符 3"/>
              <wp:cNvGraphicFramePr/>
              <a:graphic xmlns:a="http://schemas.openxmlformats.org/drawingml/2006/main">
                <a:graphicData uri="http://schemas.microsoft.com/office/word/2010/wordprocessingShape">
                  <wps:wsp>
                    <wps:cNvCnPr/>
                    <wps:spPr>
                      <a:xfrm>
                        <a:off x="0" y="0"/>
                        <a:ext cx="17970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7.45pt;margin-top:9.25pt;height:0pt;width:14.15pt;z-index:251659264;mso-width-relative:page;mso-height-relative:page;" filled="f" stroked="t" coordsize="21600,21600" o:gfxdata="UEsDBAoAAAAAAIdO4kAAAAAAAAAAAAAAAAAEAAAAZHJzL1BLAwQUAAAACACHTuJANqK4P9QAAAAJ&#10;AQAADwAAAGRycy9kb3ducmV2LnhtbE2PzU7DMBCE70i8g7VI3KjTn4QQ4lQCiXNFyoXbJt7GEfE6&#10;it0mvD2uOMBtZ3c0+025X+wgLjT53rGC9SoBQdw63XOn4OP49pCD8AFZ4+CYFHyTh311e1Niod3M&#10;73SpQydiCPsCFZgQxkJK3xqy6FduJI63k5sshiinTuoJ5xhuB7lJkkxa7Dl+MDjSq6H2qz5bBY87&#10;/ekwe0mbdD4cA51MnR8Wpe7v1skziEBL+DPDFT+iQxWZGndm7cUQ9Xb3FK1xyFMQV0O23YBofhey&#10;KuX/BtUPUEsDBBQAAAAIAIdO4kCbB5CE/QEAAOwDAAAOAAAAZHJzL2Uyb0RvYy54bWytU82O0zAQ&#10;viPxDpbvNGlXUIia7qFluSCoBDzA1HEaS/6Tx9u0L8ELIHECTrCnvfM0sDwGY6fbheXSAzk4Y4/n&#10;m/k+z8zOd0azrQyonK35eFRyJq1wjbKbmr97e/HoKWcYwTagnZU130vk5/OHD2a9r+TEdU43MjAC&#10;sVj1vuZdjL4qChSdNIAj56UlZ+uCgUjbsCmaAD2hG11MyvJJ0bvQ+OCERKTT5eDkB8RwCqBrWyXk&#10;0olLI20cUIPUEIkSdsojn+dq21aK+LptUUama05MY14pCdnrtBbzGVSbAL5T4lACnFLCPU4GlKWk&#10;R6glRGCXQf0DZZQIDl0bR8KZYiCSFSEW4/KeNm868DJzIanRH0XH/wcrXm1Xgamm5mecWTD04Dcf&#10;rn++/3xz9e3Hp+tf3z8m++sXdpak6j1WFLGwq3DYoV+FxHvXBpP+xIjtsrz7o7xyF5mgw/H02bR8&#10;zJm4dRV3cT5gfCGdYcmoOcYAatPFhbOW3tCFcVYXti8xUmYKvA1ISbVlPcFPpiU9qwBqypaagUzj&#10;iRjaTQ5Gp1VzobROIRg264UObAupMfKXCBLwX9dSliVgN9zLrqFlOgnNc9uwuPckmaVJ4akGIxvO&#10;tKTBShYBQhVB6VNuUmptqYKk8aBqstau2Wex8zk1Qa7x0LCpy/7c5+i7IZ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aiuD/UAAAACQEAAA8AAAAAAAAAAQAgAAAAIgAAAGRycy9kb3ducmV2Lnht&#10;bFBLAQIUABQAAAAIAIdO4kCbB5CE/QEAAOwDAAAOAAAAAAAAAAEAIAAAACMBAABkcnMvZTJvRG9j&#10;LnhtbFBLBQYAAAAABgAGAFkBAACSBQAAAAA=&#10;">
              <v:fill on="f" focussize="0,0"/>
              <v:stroke weight="1pt" color="#000000" joinstyle="round"/>
              <v:imagedata o:title=""/>
              <o:lock v:ext="edit" aspectratio="f"/>
            </v:shape>
          </w:pict>
        </mc:Fallback>
      </mc:AlternateContent>
    </w:r>
    <w:r>
      <w:rPr>
        <w:rFonts w:ascii="Tahoma" w:hAnsi="Tahoma" w:cs="Tahoma"/>
        <w:sz w:val="28"/>
        <w:szCs w:val="28"/>
      </w:rPr>
      <mc:AlternateContent>
        <mc:Choice Requires="wps">
          <w:drawing>
            <wp:anchor distT="0" distB="0" distL="114300" distR="114300" simplePos="0" relativeHeight="251660288" behindDoc="0" locked="0" layoutInCell="1" allowOverlap="1">
              <wp:simplePos x="0" y="0"/>
              <wp:positionH relativeFrom="column">
                <wp:posOffset>266065</wp:posOffset>
              </wp:positionH>
              <wp:positionV relativeFrom="paragraph">
                <wp:posOffset>117475</wp:posOffset>
              </wp:positionV>
              <wp:extent cx="179705" cy="0"/>
              <wp:effectExtent l="0" t="6350" r="1270" b="7620"/>
              <wp:wrapNone/>
              <wp:docPr id="2" name="直接箭头连接符 2"/>
              <wp:cNvGraphicFramePr/>
              <a:graphic xmlns:a="http://schemas.openxmlformats.org/drawingml/2006/main">
                <a:graphicData uri="http://schemas.microsoft.com/office/word/2010/wordprocessingShape">
                  <wps:wsp>
                    <wps:cNvCnPr/>
                    <wps:spPr>
                      <a:xfrm>
                        <a:off x="0" y="0"/>
                        <a:ext cx="17970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95pt;margin-top:9.25pt;height:0pt;width:14.15pt;z-index:251660288;mso-width-relative:page;mso-height-relative:page;" filled="f" stroked="t" coordsize="21600,21600" o:gfxdata="UEsDBAoAAAAAAIdO4kAAAAAAAAAAAAAAAAAEAAAAZHJzL1BLAwQUAAAACACHTuJAPNN5udIAAAAH&#10;AQAADwAAAGRycy9kb3ducmV2LnhtbE2OzU7DMBCE70i8g7WVuFE7VdOGEKcSSJwrUi7cnHibRI3X&#10;Uew24e1ZxAGO86OZrzgsbhA3nELvSUOyViCQGm97ajV8nN4eMxAhGrJm8IQavjDAoby/K0xu/Uzv&#10;eKtiK3iEQm40dDGOuZSh6dCZsPYjEmdnPzkTWU6ttJOZedwNcqPUTjrTEz90ZsTXDptLdXUa9lv7&#10;6c3uJa3T+XiKeO6q7Lho/bBK1DOIiEv8K8MPPqNDyUy1v5INYtCwTZ64yX6WguB8rzYg6l8ty0L+&#10;5y+/AVBLAwQUAAAACACHTuJA/xAzH/wBAADsAwAADgAAAGRycy9lMm9Eb2MueG1srVPNjtMwEL4j&#10;8Q6W7zRpJShETffQslwQVAIeYOo4iSX/yeNt2pfgBZA4ASfgtPd9Glgeg7HT7cJy2QM5OGOP55v5&#10;Ps8szvZGs50MqJyt+XRSciatcI2yXc3fvT1/9JQzjGAb0M7Kmh8k8rPlwweLwVdy5nqnGxkYgVis&#10;Bl/zPkZfFQWKXhrAifPSkrN1wUCkbeiKJsBA6EYXs7J8UgwuND44IRHpdD06+REx3AfQta0Scu3E&#10;hZE2jqhBaohECXvlkS9ztW0rRXzdtigj0zUnpjGvlITsbVqL5QKqLoDvlTiWAPcp4Q4nA8pS0hPU&#10;GiKwi6D+gTJKBIeujRPhTDESyYoQi2l5R5s3PXiZuZDU6E+i4/+DFa92m8BUU/MZZxYMPfj1h8uf&#10;7z9ff//249Plr6uPyf76hc2SVIPHiiJWdhOOO/SbkHjv22DSnxixfZb3cJJX7iMTdDidP5uXjzkT&#10;N67iNs4HjC+kMywZNccYQHV9XDlr6Q1dmGZ1YfcSI2WmwJuAlFRbNhD8bF7SswqgpmypGcg0noih&#10;7XIwOq2ac6V1CsHQbVc6sB2kxshfIkjAf11LWdaA/Xgvu8aW6SU0z23D4sGTZJYmhacajGw405IG&#10;K1kECFUEpe9zk1JrSxUkjUdVk7V1zSGLnc+pCXKNx4ZNXfbnPkffDun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zTebnSAAAABwEAAA8AAAAAAAAAAQAgAAAAIgAAAGRycy9kb3ducmV2LnhtbFBL&#10;AQIUABQAAAAIAIdO4kD/EDMf/AEAAOwDAAAOAAAAAAAAAAEAIAAAACEBAABkcnMvZTJvRG9jLnht&#10;bFBLBQYAAAAABgAGAFkBAACPBQAAAAA=&#10;">
              <v:fill on="f" focussize="0,0"/>
              <v:stroke weight="1pt" color="#000000" joinstyle="round"/>
              <v:imagedata o:title=""/>
              <o:lock v:ext="edit" aspectratio="f"/>
            </v:shape>
          </w:pict>
        </mc:Fallback>
      </mc:AlternateContent>
    </w:r>
    <w:r>
      <w:rPr>
        <w:rFonts w:hint="eastAsia" w:ascii="Tahoma" w:hAnsi="Tahoma" w:cs="Tahoma"/>
        <w:sz w:val="28"/>
        <w:szCs w:val="28"/>
      </w:rPr>
      <w:t xml:space="preserve"> </w:t>
    </w:r>
    <w:r>
      <w:rPr>
        <w:rFonts w:ascii="宋体" w:hAnsi="宋体" w:cs="Tahoma"/>
        <w:sz w:val="28"/>
        <w:szCs w:val="28"/>
      </w:rPr>
      <w:fldChar w:fldCharType="begin"/>
    </w:r>
    <w:r>
      <w:rPr>
        <w:rFonts w:ascii="宋体" w:hAnsi="宋体" w:cs="Tahoma"/>
        <w:sz w:val="28"/>
        <w:szCs w:val="28"/>
      </w:rPr>
      <w:instrText xml:space="preserve"> PAGE   \* MERGEFORMAT </w:instrText>
    </w:r>
    <w:r>
      <w:rPr>
        <w:rFonts w:ascii="宋体" w:hAnsi="宋体" w:cs="Tahoma"/>
        <w:sz w:val="28"/>
        <w:szCs w:val="28"/>
      </w:rPr>
      <w:fldChar w:fldCharType="separate"/>
    </w:r>
    <w:r>
      <w:rPr>
        <w:rFonts w:ascii="宋体" w:hAnsi="宋体" w:cs="Tahoma"/>
        <w:sz w:val="28"/>
        <w:szCs w:val="28"/>
        <w:lang w:val="zh-CN"/>
      </w:rPr>
      <w:t>22</w:t>
    </w:r>
    <w:r>
      <w:rPr>
        <w:rFonts w:ascii="宋体" w:hAnsi="宋体" w:cs="Tahoma"/>
        <w:sz w:val="28"/>
        <w:szCs w:val="28"/>
      </w:rPr>
      <w:fldChar w:fldCharType="end"/>
    </w:r>
    <w:r>
      <w:rPr>
        <w:rFonts w:hint="eastAsia" w:ascii="Tahoma" w:hAnsi="Tahoma" w:cs="Tahom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CC62">
    <w:pPr>
      <w:pStyle w:val="3"/>
      <w:pBdr>
        <w:bottom w:val="none" w:color="auto" w:sz="0" w:space="0"/>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E8E7">
    <w:pPr>
      <w:pStyle w:val="3"/>
      <w:pBdr>
        <w:bottom w:val="none" w:color="auto" w:sz="0" w:space="0"/>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06D08"/>
    <w:rsid w:val="5E496B1A"/>
    <w:rsid w:val="7E50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pacing w:val="-10"/>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cs="Times New Roman"/>
      <w:spacing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cs="Times New Roman"/>
      <w:spacing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7144</Words>
  <Characters>7609</Characters>
  <Lines>0</Lines>
  <Paragraphs>0</Paragraphs>
  <TotalTime>2</TotalTime>
  <ScaleCrop>false</ScaleCrop>
  <LinksUpToDate>false</LinksUpToDate>
  <CharactersWithSpaces>7708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2026-04-03T06:31:00Z</dcterms:created>
  <dc:creator>HUAWEI</dc:creator>
  <cp:lastModifiedBy>HUAWEI</cp:lastModifiedBy>
  <dcterms:modified xsi:type="dcterms:W3CDTF">2026-04-09T06:20:33Z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C5C7B3A635A34FE2AF12262DF4EE2C18_11</vt:lpwstr>
  </property>
  <property fmtid="{D5CDD505-2E9C-101B-9397-08002B2CF9AE}" pid="4" name="KSOTemplateDocerSaveRecord">
    <vt:lpwstr>eyJoZGlkIjoiOWYwMDY4NjEzMDg4OTA2Nzk5NzNiMTM0MjFjMDljNTkiLCJ1c2VySWQiOiI0Mzg1NjE1MTUifQ==</vt:lpwstr>
  </property>
</Properties>
</file>